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Entrenamiento ENARM — Cirugía</w:t>
      </w:r>
    </w:p>
    <w:p>
      <w:pPr>
        <w:jc w:val="center"/>
      </w:pPr>
      <w:r>
        <w:rPr>
          <w:rFonts w:ascii="Arial" w:hAnsi="Arial"/>
          <w:b/>
          <w:sz w:val="28"/>
        </w:rPr>
        <w:t>Sesión de mañana (2 temas) — 18 de julio de 2026</w:t>
      </w:r>
    </w:p>
    <w:p/>
    <w:p>
      <w:r>
        <w:rPr>
          <w:rFonts w:ascii="Arial" w:hAnsi="Arial"/>
          <w:b/>
          <w:sz w:val="26"/>
        </w:rPr>
        <w:t>Tema: Traumatismo Craneoencefálico</w:t>
      </w:r>
    </w:p>
    <w:p/>
    <w:p>
      <w:r>
        <w:rPr>
          <w:rFonts w:ascii="Arial" w:hAnsi="Arial"/>
          <w:b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90% de muertes por trauma se debe a lesión cerebral. Principal causa de muerte en politraumatizados. Gravedad según Escala de Glasgow.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TCE leve: recuperación en días. TCE moderado-severo: riesgo de complicaciones intracraneales en primeras 48 horas-14 días. Evaluación neurológica seriada.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Lesión primaria (mecánica) + lesión secundaria (hipoxia, hipotensión, hipertensión intracraneal, hipocapnia excesiva). Objetivo: prevenir lesión secundaria.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TCE leve (Glasgow 13-15): cefalea, mareo, amnesia. TCE moderado (9-12): letargo, confusión. TCE severo (&lt;8): coma, pupilas anisocóricas, signos de herniación.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TAC de cráneo en moderado-severo. Glasgow repetida. TAC de control a 12-24h si contusiones. Desplazamiento línea media ≥5 mm = cirugía.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ABCDE. Comatosos: intubación, ventilación FiO2 100%, normocapnia (PaCO2 ~35). Hipotensión: reposición agresiva. Manitol si pupilas/anisocoria. Barbitúricos si PIC refractaria (sin hipotensión). Anticonvulsivos (fenitoína) primera semana.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Accidente vascular cerebral, intoxicación, hipoglucemia, meningitis/encefalitis, crisis convulsiva postictal, síndrome de Wernicke.</w:t>
            </w:r>
          </w:p>
        </w:tc>
      </w:tr>
    </w:tbl>
    <w:p/>
    <w:p>
      <w:r>
        <w:rPr>
          <w:rFonts w:ascii="Arial" w:hAnsi="Arial"/>
          <w:b/>
          <w:sz w:val="24"/>
        </w:rPr>
        <w:t>Preguntas tipo ENARM</w:t>
      </w:r>
    </w:p>
    <w:p>
      <w:r>
        <w:rPr>
          <w:rFonts w:ascii="Arial" w:hAnsi="Arial"/>
          <w:b/>
          <w:sz w:val="24"/>
        </w:rPr>
        <w:t>ANTES de ver la respuesta, explica en voz alta por qué elegiste esa opción.</w:t>
      </w:r>
    </w:p>
    <w:p/>
    <w:p>
      <w:r>
        <w:rPr>
          <w:rFonts w:ascii="Arial" w:hAnsi="Arial"/>
          <w:b/>
          <w:sz w:val="24"/>
        </w:rPr>
        <w:t>Pregunta 1</w:t>
      </w:r>
    </w:p>
    <w:p>
      <w:r>
        <w:rPr>
          <w:rFonts w:ascii="Arial" w:hAnsi="Arial"/>
          <w:b w:val="0"/>
          <w:sz w:val="24"/>
        </w:rPr>
        <w:t>Hombre de 28 años, accidente motociclistico, Glasgow 7 (abre ojos a dolor, vocaliza incomprensible, extensión anormal). ¿Manejo inicial?</w:t>
      </w:r>
    </w:p>
    <w:p>
      <w:r>
        <w:rPr>
          <w:rFonts w:ascii="Arial" w:hAnsi="Arial"/>
          <w:b w:val="0"/>
          <w:sz w:val="24"/>
        </w:rPr>
        <w:t>A) Observación en urgencias sin intubación</w:t>
      </w:r>
    </w:p>
    <w:p>
      <w:r>
        <w:rPr>
          <w:rFonts w:ascii="Arial" w:hAnsi="Arial"/>
          <w:b w:val="0"/>
          <w:sz w:val="24"/>
        </w:rPr>
        <w:t>B) Intubación orotraqueal inmediata, TAC de cráneo</w:t>
      </w:r>
    </w:p>
    <w:p>
      <w:r>
        <w:rPr>
          <w:rFonts w:ascii="Arial" w:hAnsi="Arial"/>
          <w:b w:val="0"/>
          <w:sz w:val="24"/>
        </w:rPr>
        <w:t>C) Tomografía de columna cervical nada más</w:t>
      </w:r>
    </w:p>
    <w:p>
      <w:r>
        <w:rPr>
          <w:rFonts w:ascii="Arial" w:hAnsi="Arial"/>
          <w:b w:val="0"/>
          <w:sz w:val="24"/>
        </w:rPr>
        <w:t>D) Solo sedación con midazolam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Glasgow &lt;8 = intubación inmediata + ventilación 100% O2 + TAC cráneo. Postura de extensión anormal = decorticación/decerebración, mal pronóstico. Normocapnia objetivo.</w:t>
      </w:r>
    </w:p>
    <w:p>
      <w:r>
        <w:rPr>
          <w:rFonts w:ascii="Arial" w:hAnsi="Arial"/>
          <w:b/>
          <w:sz w:val="24"/>
        </w:rPr>
        <w:t>Sesgo que activa: Cierre prematuro — observar en lugar de intubar ante Glasgow &lt;8.</w:t>
      </w:r>
    </w:p>
    <w:p/>
    <w:p>
      <w:r>
        <w:rPr>
          <w:rFonts w:ascii="Arial" w:hAnsi="Arial"/>
          <w:b/>
          <w:sz w:val="24"/>
        </w:rPr>
        <w:t>Pregunta 2</w:t>
      </w:r>
    </w:p>
    <w:p>
      <w:r>
        <w:rPr>
          <w:rFonts w:ascii="Arial" w:hAnsi="Arial"/>
          <w:b w:val="0"/>
          <w:sz w:val="24"/>
        </w:rPr>
        <w:t>Paciente TCE severo, TAC con hematoma epidural temporal, lucidez previa, ahora pupilas anisocóricas. ¿Manejo?</w:t>
      </w:r>
    </w:p>
    <w:p>
      <w:r>
        <w:rPr>
          <w:rFonts w:ascii="Arial" w:hAnsi="Arial"/>
          <w:b w:val="0"/>
          <w:sz w:val="24"/>
        </w:rPr>
        <w:t>A) Manitol IV y cirugía urgente de evacuación</w:t>
      </w:r>
    </w:p>
    <w:p>
      <w:r>
        <w:rPr>
          <w:rFonts w:ascii="Arial" w:hAnsi="Arial"/>
          <w:b w:val="0"/>
          <w:sz w:val="24"/>
        </w:rPr>
        <w:t>B) Observación con TAC seriado</w:t>
      </w:r>
    </w:p>
    <w:p>
      <w:r>
        <w:rPr>
          <w:rFonts w:ascii="Arial" w:hAnsi="Arial"/>
          <w:b w:val="0"/>
          <w:sz w:val="24"/>
        </w:rPr>
        <w:t>C) Anticonvulsivos solos</w:t>
      </w:r>
    </w:p>
    <w:p>
      <w:r>
        <w:rPr>
          <w:rFonts w:ascii="Arial" w:hAnsi="Arial"/>
          <w:b w:val="0"/>
          <w:sz w:val="24"/>
        </w:rPr>
        <w:t>D) Angiografía cerebral</w:t>
      </w:r>
    </w:p>
    <w:p>
      <w:r>
        <w:rPr>
          <w:rFonts w:ascii="Arial" w:hAnsi="Arial"/>
          <w:b/>
          <w:sz w:val="24"/>
        </w:rPr>
        <w:t>Respuesta: A</w:t>
      </w:r>
    </w:p>
    <w:p>
      <w:r>
        <w:rPr>
          <w:rFonts w:ascii="Arial" w:hAnsi="Arial"/>
          <w:b w:val="0"/>
          <w:sz w:val="24"/>
        </w:rPr>
        <w:t>Explicación: Hematoma epidural temporal + deterioro neurológico + anisocoria = herniación uncal. Manitol como puente + craniotomía urgente. Es neuroquirúrgico de emergencia.</w:t>
      </w:r>
    </w:p>
    <w:p>
      <w:r>
        <w:rPr>
          <w:rFonts w:ascii="Arial" w:hAnsi="Arial"/>
          <w:b/>
          <w:sz w:val="24"/>
        </w:rPr>
        <w:t>Sesgo que activa: Disponibilidad — pensar en manitol como tratamiento definitivo sin cirugía.</w:t>
      </w:r>
    </w:p>
    <w:p/>
    <w:p>
      <w:r>
        <w:rPr>
          <w:rFonts w:ascii="Arial" w:hAnsi="Arial"/>
          <w:b/>
          <w:sz w:val="24"/>
        </w:rPr>
        <w:t>Pregunta 3</w:t>
      </w:r>
    </w:p>
    <w:p>
      <w:r>
        <w:rPr>
          <w:rFonts w:ascii="Arial" w:hAnsi="Arial"/>
          <w:b w:val="0"/>
          <w:sz w:val="24"/>
        </w:rPr>
        <w:t>TCE severo, PaCO2 28 mmHg por hiperventilación espontánea. ¿Manejo?</w:t>
      </w:r>
    </w:p>
    <w:p>
      <w:r>
        <w:rPr>
          <w:rFonts w:ascii="Arial" w:hAnsi="Arial"/>
          <w:b w:val="0"/>
          <w:sz w:val="24"/>
        </w:rPr>
        <w:t>A) Permitir hiperventilación espontánea</w:t>
      </w:r>
    </w:p>
    <w:p>
      <w:r>
        <w:rPr>
          <w:rFonts w:ascii="Arial" w:hAnsi="Arial"/>
          <w:b w:val="0"/>
          <w:sz w:val="24"/>
        </w:rPr>
        <w:t>B) Normocapnia mínimo 35 mmHg</w:t>
      </w:r>
    </w:p>
    <w:p>
      <w:r>
        <w:rPr>
          <w:rFonts w:ascii="Arial" w:hAnsi="Arial"/>
          <w:b w:val="0"/>
          <w:sz w:val="24"/>
        </w:rPr>
        <w:t>C) Hiperventilar más a 20 mmHg</w:t>
      </w:r>
    </w:p>
    <w:p>
      <w:r>
        <w:rPr>
          <w:rFonts w:ascii="Arial" w:hAnsi="Arial"/>
          <w:b w:val="0"/>
          <w:sz w:val="24"/>
        </w:rPr>
        <w:t>D) No intervenir gases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Hiperventilación reduce PaCO2 → vasoconstricción cerebral → isquemia. Mantener normocapnia mínimo 35 mmHg. Hiperventilación solo transitoria si herniación aguda.</w:t>
      </w:r>
    </w:p>
    <w:p>
      <w:r>
        <w:rPr>
          <w:rFonts w:ascii="Arial" w:hAnsi="Arial"/>
          <w:b/>
          <w:sz w:val="24"/>
        </w:rPr>
        <w:t>Sesgo que activa: Sobreconfianza — pensar que hiperventilación "reduce presión intracraneal" sin considerar isquemia.</w:t>
      </w:r>
    </w:p>
    <w:p/>
    <w:p>
      <w:r>
        <w:rPr>
          <w:rFonts w:ascii="Arial" w:hAnsi="Arial"/>
          <w:b/>
          <w:sz w:val="24"/>
        </w:rPr>
        <w:t>Pregunta 4</w:t>
      </w:r>
    </w:p>
    <w:p>
      <w:r>
        <w:rPr>
          <w:rFonts w:ascii="Arial" w:hAnsi="Arial"/>
          <w:b w:val="0"/>
          <w:sz w:val="24"/>
        </w:rPr>
        <w:t>Paciente TCE leve (Glasgow 14), TAC normal, sin signos de alarma tras 6 horas. ¿Criterio de alta?</w:t>
      </w:r>
    </w:p>
    <w:p>
      <w:r>
        <w:rPr>
          <w:rFonts w:ascii="Arial" w:hAnsi="Arial"/>
          <w:b w:val="0"/>
          <w:sz w:val="24"/>
        </w:rPr>
        <w:t>A) Alta inmediata sin condiciones</w:t>
      </w:r>
    </w:p>
    <w:p>
      <w:r>
        <w:rPr>
          <w:rFonts w:ascii="Arial" w:hAnsi="Arial"/>
          <w:b w:val="0"/>
          <w:sz w:val="24"/>
        </w:rPr>
        <w:t>B) Observación &gt;24h + TAC normal + familiar informado</w:t>
      </w:r>
    </w:p>
    <w:p>
      <w:r>
        <w:rPr>
          <w:rFonts w:ascii="Arial" w:hAnsi="Arial"/>
          <w:b w:val="0"/>
          <w:sz w:val="24"/>
        </w:rPr>
        <w:t>C) Hospitalización obligatoria 72h</w:t>
      </w:r>
    </w:p>
    <w:p>
      <w:r>
        <w:rPr>
          <w:rFonts w:ascii="Arial" w:hAnsi="Arial"/>
          <w:b w:val="0"/>
          <w:sz w:val="24"/>
        </w:rPr>
        <w:t>D) Solo dar analgésicos y enviar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Alta TCE leve: ausencia signos alarma tras observación &gt;24h, TAC normal, familiar informado para vigilancia domiciliaria. Glasgow 13-15 sin alteración TAC: seguimiento ambulatorio.</w:t>
      </w:r>
    </w:p>
    <w:p>
      <w:r>
        <w:rPr>
          <w:rFonts w:ascii="Arial" w:hAnsi="Arial"/>
          <w:b/>
          <w:sz w:val="24"/>
        </w:rPr>
        <w:t>Sesgo que activa: Cierre prematuro — dar alta sin criterios ni TAC previo.</w:t>
      </w:r>
    </w:p>
    <w:p/>
    <w:p>
      <w:r>
        <w:rPr>
          <w:rFonts w:ascii="Arial" w:hAnsi="Arial"/>
          <w:b/>
          <w:sz w:val="24"/>
        </w:rPr>
        <w:t>Pregunta 5</w:t>
      </w:r>
    </w:p>
    <w:p>
      <w:r>
        <w:rPr>
          <w:rFonts w:ascii="Arial" w:hAnsi="Arial"/>
          <w:b w:val="0"/>
          <w:sz w:val="24"/>
        </w:rPr>
        <w:t>TCE moderado, Glasgow 10, pupila izquierda dilatada, hemiparesia derecha. ¿Farmaco de emergencia antes de TAC?</w:t>
      </w:r>
    </w:p>
    <w:p>
      <w:r>
        <w:rPr>
          <w:rFonts w:ascii="Arial" w:hAnsi="Arial"/>
          <w:b w:val="0"/>
          <w:sz w:val="24"/>
        </w:rPr>
        <w:t>A) Midazolam</w:t>
      </w:r>
    </w:p>
    <w:p>
      <w:r>
        <w:rPr>
          <w:rFonts w:ascii="Arial" w:hAnsi="Arial"/>
          <w:b w:val="0"/>
          <w:sz w:val="24"/>
        </w:rPr>
        <w:t>B) Manitol 1 g/kg</w:t>
      </w:r>
    </w:p>
    <w:p>
      <w:r>
        <w:rPr>
          <w:rFonts w:ascii="Arial" w:hAnsi="Arial"/>
          <w:b w:val="0"/>
          <w:sz w:val="24"/>
        </w:rPr>
        <w:t>C) Fentanilo</w:t>
      </w:r>
    </w:p>
    <w:p>
      <w:r>
        <w:rPr>
          <w:rFonts w:ascii="Arial" w:hAnsi="Arial"/>
          <w:b w:val="0"/>
          <w:sz w:val="24"/>
        </w:rPr>
        <w:t>D) Fenitoína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Pupila dilatada + hemiparesia contralateral = herniación uncal. Manitol IV hiperosmolar reduce edema cerebral como terapia puente mientras se prepara cirugía. No sedar antes de evaluar Glasgow.</w:t>
      </w:r>
    </w:p>
    <w:p>
      <w:r>
        <w:rPr>
          <w:rFonts w:ascii="Arial" w:hAnsi="Arial"/>
          <w:b/>
          <w:sz w:val="24"/>
        </w:rPr>
        <w:t>Sesgo que activa: Anclaje — sedar al paciente agitado sin considerar que es signo de herniación.</w:t>
      </w:r>
    </w:p>
    <w:p/>
    <w:p>
      <w:r>
        <w:rPr>
          <w:rFonts w:ascii="Arial" w:hAnsi="Arial"/>
          <w:b/>
          <w:sz w:val="24"/>
        </w:rPr>
        <w:t>Pregunta 6</w:t>
      </w:r>
    </w:p>
    <w:p>
      <w:r>
        <w:rPr>
          <w:rFonts w:ascii="Arial" w:hAnsi="Arial"/>
          <w:b w:val="0"/>
          <w:sz w:val="24"/>
        </w:rPr>
        <w:t>Paciente TCE severo, hipotenso (PAS 82/50), FC 120. ¿Manejo hemodinámico inicial?</w:t>
      </w:r>
    </w:p>
    <w:p>
      <w:r>
        <w:rPr>
          <w:rFonts w:ascii="Arial" w:hAnsi="Arial"/>
          <w:b w:val="0"/>
          <w:sz w:val="24"/>
        </w:rPr>
        <w:t>A) Manitol inmediato</w:t>
      </w:r>
    </w:p>
    <w:p>
      <w:r>
        <w:rPr>
          <w:rFonts w:ascii="Arial" w:hAnsi="Arial"/>
          <w:b w:val="0"/>
          <w:sz w:val="24"/>
        </w:rPr>
        <w:t>B) Reposición hídrica agresiva con cristaloides</w:t>
      </w:r>
    </w:p>
    <w:p>
      <w:r>
        <w:rPr>
          <w:rFonts w:ascii="Arial" w:hAnsi="Arial"/>
          <w:b w:val="0"/>
          <w:sz w:val="24"/>
        </w:rPr>
        <w:t>C) Hiperventilación</w:t>
      </w:r>
    </w:p>
    <w:p>
      <w:r>
        <w:rPr>
          <w:rFonts w:ascii="Arial" w:hAnsi="Arial"/>
          <w:b w:val="0"/>
          <w:sz w:val="24"/>
        </w:rPr>
        <w:t>D) Vasopresores sin líquidos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Hipotensión no se atribuye a daño encefálico salvo estadio terminal. Hipotensión empeora lesión cerebral secundaria (hipoperfusión). Reposición de volumen agresiva primero. Si persiste, vasopresores.</w:t>
      </w:r>
    </w:p>
    <w:p>
      <w:r>
        <w:rPr>
          <w:rFonts w:ascii="Arial" w:hAnsi="Arial"/>
          <w:b/>
          <w:sz w:val="24"/>
        </w:rPr>
        <w:t>Sesgo que activa: Cierre prematuro — pensar que hipotensión es por "neurogénico" sin descartar hemorragia.</w:t>
      </w:r>
    </w:p>
    <w:p/>
    <w:p>
      <w:r>
        <w:rPr>
          <w:rFonts w:ascii="Arial" w:hAnsi="Arial"/>
          <w:b/>
          <w:sz w:val="24"/>
        </w:rPr>
        <w:t>Pregunta 7</w:t>
      </w:r>
    </w:p>
    <w:p>
      <w:r>
        <w:rPr>
          <w:rFonts w:ascii="Arial" w:hAnsi="Arial"/>
          <w:b w:val="0"/>
          <w:sz w:val="24"/>
        </w:rPr>
        <w:t>TCE severo, convulsiones en primera semana. ¿Profilaxis anticonvulsiva?</w:t>
      </w:r>
    </w:p>
    <w:p>
      <w:r>
        <w:rPr>
          <w:rFonts w:ascii="Arial" w:hAnsi="Arial"/>
          <w:b w:val="0"/>
          <w:sz w:val="24"/>
        </w:rPr>
        <w:t>A) No hay beneficio de anticonvulsivos</w:t>
      </w:r>
    </w:p>
    <w:p>
      <w:r>
        <w:rPr>
          <w:rFonts w:ascii="Arial" w:hAnsi="Arial"/>
          <w:b w:val="0"/>
          <w:sz w:val="24"/>
        </w:rPr>
        <w:t>B) Fenitoína para prevenir convulsiones en primera semana</w:t>
      </w:r>
    </w:p>
    <w:p>
      <w:r>
        <w:rPr>
          <w:rFonts w:ascii="Arial" w:hAnsi="Arial"/>
          <w:b w:val="0"/>
          <w:sz w:val="24"/>
        </w:rPr>
        <w:t>C) Valproato de sodio de por vida</w:t>
      </w:r>
    </w:p>
    <w:p>
      <w:r>
        <w:rPr>
          <w:rFonts w:ascii="Arial" w:hAnsi="Arial"/>
          <w:b w:val="0"/>
          <w:sz w:val="24"/>
        </w:rPr>
        <w:t>D) Carbamazepina 6 meses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Fenitoína/fosfenitoína previene convulsiones en primera semana post-TCE, especialmente si hematoma intracraneal o fractura deprimida. No reduce epilepsia tardía (&gt;1 semana).</w:t>
      </w:r>
    </w:p>
    <w:p>
      <w:r>
        <w:rPr>
          <w:rFonts w:ascii="Arial" w:hAnsi="Arial"/>
          <w:b/>
          <w:sz w:val="24"/>
        </w:rPr>
        <w:t>Sesgo que activa: Disponibilidad — usar levetiracetam por moda sin evidencia en guías de trauma.</w:t>
      </w:r>
    </w:p>
    <w:p/>
    <w:p>
      <w:r>
        <w:rPr>
          <w:rFonts w:ascii="Arial" w:hAnsi="Arial"/>
          <w:b/>
          <w:sz w:val="24"/>
        </w:rPr>
        <w:t>Pregunta 8</w:t>
      </w:r>
    </w:p>
    <w:p>
      <w:r>
        <w:rPr>
          <w:rFonts w:ascii="Arial" w:hAnsi="Arial"/>
          <w:b w:val="0"/>
          <w:sz w:val="24"/>
        </w:rPr>
        <w:t>Paciente TCE, contusión cerebral frontal, Glasgow 9. ¿Momento de TAC de control?</w:t>
      </w:r>
    </w:p>
    <w:p>
      <w:r>
        <w:rPr>
          <w:rFonts w:ascii="Arial" w:hAnsi="Arial"/>
          <w:b w:val="0"/>
          <w:sz w:val="24"/>
        </w:rPr>
        <w:t>A) No repetir TAC si estable</w:t>
      </w:r>
    </w:p>
    <w:p>
      <w:r>
        <w:rPr>
          <w:rFonts w:ascii="Arial" w:hAnsi="Arial"/>
          <w:b w:val="0"/>
          <w:sz w:val="24"/>
        </w:rPr>
        <w:t>B) TAC de control a las 12-24 horas</w:t>
      </w:r>
    </w:p>
    <w:p>
      <w:r>
        <w:rPr>
          <w:rFonts w:ascii="Arial" w:hAnsi="Arial"/>
          <w:b w:val="0"/>
          <w:sz w:val="24"/>
        </w:rPr>
        <w:t>C) TAC diaria por 5 días</w:t>
      </w:r>
    </w:p>
    <w:p>
      <w:r>
        <w:rPr>
          <w:rFonts w:ascii="Arial" w:hAnsi="Arial"/>
          <w:b w:val="0"/>
          <w:sz w:val="24"/>
        </w:rPr>
        <w:t>D) Solo si Glasgow empeora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Contusiones cerebrales pueden evolucionar a hematoma. TAC de control a las 12-24 horas de la lesión, y ante cualquier cambio clínico. Repetir TAC es estándar en TCE moderado-severo.</w:t>
      </w:r>
    </w:p>
    <w:p>
      <w:r>
        <w:rPr>
          <w:rFonts w:ascii="Arial" w:hAnsi="Arial"/>
          <w:b/>
          <w:sz w:val="24"/>
        </w:rPr>
        <w:t>Sesgo que activa: Sobreconfianza — confiar en estabilidad clínica sin control imagenológico.</w:t>
      </w:r>
    </w:p>
    <w:p/>
    <w:p>
      <w:r>
        <w:rPr>
          <w:rFonts w:ascii="Arial" w:hAnsi="Arial"/>
          <w:b/>
          <w:sz w:val="24"/>
        </w:rPr>
        <w:t>Pregunta 9</w:t>
      </w:r>
    </w:p>
    <w:p>
      <w:r>
        <w:rPr>
          <w:rFonts w:ascii="Arial" w:hAnsi="Arial"/>
          <w:b w:val="0"/>
          <w:sz w:val="24"/>
        </w:rPr>
        <w:t>TCE leve en niño de 6 años, Glasgow 15, TAC normal, herida en cuero cabelludo. ¿Analgésico recomendado?</w:t>
      </w:r>
    </w:p>
    <w:p>
      <w:r>
        <w:rPr>
          <w:rFonts w:ascii="Arial" w:hAnsi="Arial"/>
          <w:b w:val="0"/>
          <w:sz w:val="24"/>
        </w:rPr>
        <w:t>A) Aspirina</w:t>
      </w:r>
    </w:p>
    <w:p>
      <w:r>
        <w:rPr>
          <w:rFonts w:ascii="Arial" w:hAnsi="Arial"/>
          <w:b w:val="0"/>
          <w:sz w:val="24"/>
        </w:rPr>
        <w:t>B) Paracetamol</w:t>
      </w:r>
    </w:p>
    <w:p>
      <w:r>
        <w:rPr>
          <w:rFonts w:ascii="Arial" w:hAnsi="Arial"/>
          <w:b w:val="0"/>
          <w:sz w:val="24"/>
        </w:rPr>
        <w:t>C) Ibuprofeno IV</w:t>
      </w:r>
    </w:p>
    <w:p>
      <w:r>
        <w:rPr>
          <w:rFonts w:ascii="Arial" w:hAnsi="Arial"/>
          <w:b w:val="0"/>
          <w:sz w:val="24"/>
        </w:rPr>
        <w:t>D) Morfina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Paracetamol es analgésico de elección en TCE pediátrico leve. Aspirina contraindicada (riesgo hemorragia). Morfina puede enmascarar deterioro neurológico.</w:t>
      </w:r>
    </w:p>
    <w:p>
      <w:r>
        <w:rPr>
          <w:rFonts w:ascii="Arial" w:hAnsi="Arial"/>
          <w:b/>
          <w:sz w:val="24"/>
        </w:rPr>
        <w:t>Sesgo que activa: Anclaje — usar ibuprofeno/AINE por ser analgésico común sin considerar riesgo hemorragia.</w:t>
      </w:r>
    </w:p>
    <w:p/>
    <w:p>
      <w:r>
        <w:rPr>
          <w:rFonts w:ascii="Arial" w:hAnsi="Arial"/>
          <w:b/>
          <w:sz w:val="24"/>
        </w:rPr>
        <w:t>Pregunta 10</w:t>
      </w:r>
    </w:p>
    <w:p>
      <w:r>
        <w:rPr>
          <w:rFonts w:ascii="Arial" w:hAnsi="Arial"/>
          <w:b w:val="0"/>
          <w:sz w:val="24"/>
        </w:rPr>
        <w:t>TCE severo, desplazamiento de línea media 7 mm, hematoma subdural agudo. ¿Indicación quirúrgica?</w:t>
      </w:r>
    </w:p>
    <w:p>
      <w:r>
        <w:rPr>
          <w:rFonts w:ascii="Arial" w:hAnsi="Arial"/>
          <w:b w:val="0"/>
          <w:sz w:val="24"/>
        </w:rPr>
        <w:t>A) Solo observación con TAC seriado</w:t>
      </w:r>
    </w:p>
    <w:p>
      <w:r>
        <w:rPr>
          <w:rFonts w:ascii="Arial" w:hAnsi="Arial"/>
          <w:b w:val="0"/>
          <w:sz w:val="24"/>
        </w:rPr>
        <w:t>B) Craniotomía de urgencia para evacuación</w:t>
      </w:r>
    </w:p>
    <w:p>
      <w:r>
        <w:rPr>
          <w:rFonts w:ascii="Arial" w:hAnsi="Arial"/>
          <w:b w:val="0"/>
          <w:sz w:val="24"/>
        </w:rPr>
        <w:t>C) Drenaje ventricular externo solamente</w:t>
      </w:r>
    </w:p>
    <w:p>
      <w:r>
        <w:rPr>
          <w:rFonts w:ascii="Arial" w:hAnsi="Arial"/>
          <w:b w:val="0"/>
          <w:sz w:val="24"/>
        </w:rPr>
        <w:t>D) Manitol y esperar 48h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Desplazamiento línea media ≥5 mm = indicación quirúrgica de evacuación. Hematoma subdural con efecto ocupante significativo requiere craniotomía/descompresión urgente.</w:t>
      </w:r>
    </w:p>
    <w:p>
      <w:r>
        <w:rPr>
          <w:rFonts w:ascii="Arial" w:hAnsi="Arial"/>
          <w:b/>
          <w:sz w:val="24"/>
        </w:rPr>
        <w:t>Sesgo que activa: Cierre prematuro — intentar manejo médico ante indicación quirúrgica clara.</w:t>
      </w:r>
    </w:p>
    <w:p/>
    <w:p>
      <w:r>
        <w:br w:type="page"/>
      </w:r>
    </w:p>
    <w:p>
      <w:r>
        <w:rPr>
          <w:rFonts w:ascii="Arial" w:hAnsi="Arial"/>
          <w:b/>
          <w:sz w:val="26"/>
        </w:rPr>
        <w:t>Tema: Quemaduras</w:t>
      </w:r>
    </w:p>
    <w:p/>
    <w:p>
      <w:r>
        <w:rPr>
          <w:rFonts w:ascii="Arial" w:hAnsi="Arial"/>
          <w:b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Mayor incidencia en niños &lt;5 años y ancianos. Prevenibles en hogar (líquidos calientes). Miembros superiores 71%, cabeza/cuello 52%.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Segundo grado superficial: &lt;14 días. Segundo grado profundo: &gt;21 días. Tercer grado: no cura espontáneamente, requiere injerto.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Deshidratación súbita, desnaturalización proteica, destrucción celular, respuesta inflamatoria sistémica. Quemaduras mayores &gt;20% SCQ: síndrome de respuesta inflamatoria sistémica, hipovolemia.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Primer grado: eritema dolorosa. Segundo grado superficial: ampollas delgadas, muy dolorosa. Segundo grado profunda: color violáceo, menos dolor. Tercer grado: blanca/negra, acartonada, indolora (destrucción nervios).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Extensión: regla de los 9 de Wallace (adultos), Lund and Browder (niños). Profundidad por apariencia. Gasometría y carboxihemoglobina si inhalación.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ABCDE. Retirar ropa (excepto adherida). Cubrir con sábanas tibias limpias. Ringer lactato: 2 mL/kg/%SCQ adultos, 3 mL/kg/%SCQ &lt;14 años. 50% primeras 8h, 50% siguientes 16h. Meta uresis 0.5 mL/kg/h (adultos), 1 mL/kg/h (niños). Antibióticos solo si infección documentada. Analgesia. Injerto si tercer grado o segundo profundo extenso.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Síndrome de Stevens-Johnson, necrolisis epidérmica tóxica, escaldadura por estafilococo, dermatitis exfoliativa, pioderma gangrenoso.</w:t>
            </w:r>
          </w:p>
        </w:tc>
      </w:tr>
    </w:tbl>
    <w:p/>
    <w:p>
      <w:r>
        <w:rPr>
          <w:rFonts w:ascii="Arial" w:hAnsi="Arial"/>
          <w:b/>
          <w:sz w:val="24"/>
        </w:rPr>
        <w:t>Preguntas tipo ENARM</w:t>
      </w:r>
    </w:p>
    <w:p>
      <w:r>
        <w:rPr>
          <w:rFonts w:ascii="Arial" w:hAnsi="Arial"/>
          <w:b/>
          <w:sz w:val="24"/>
        </w:rPr>
        <w:t>ANTES de ver la respuesta, explica en voz alta por qué elegiste esa opción.</w:t>
      </w:r>
    </w:p>
    <w:p/>
    <w:p>
      <w:r>
        <w:rPr>
          <w:rFonts w:ascii="Arial" w:hAnsi="Arial"/>
          <w:b/>
          <w:sz w:val="24"/>
        </w:rPr>
        <w:t>Pregunta 1</w:t>
      </w:r>
    </w:p>
    <w:p>
      <w:r>
        <w:rPr>
          <w:rFonts w:ascii="Arial" w:hAnsi="Arial"/>
          <w:b w:val="0"/>
          <w:sz w:val="24"/>
        </w:rPr>
        <w:t>Adulto de 70 kg con quemaduras segundo y tercer grado en 40% de superficie corporal. ¿Volumen de Ringer lactato en primeras 8 horas?</w:t>
      </w:r>
    </w:p>
    <w:p>
      <w:r>
        <w:rPr>
          <w:rFonts w:ascii="Arial" w:hAnsi="Arial"/>
          <w:b w:val="0"/>
          <w:sz w:val="24"/>
        </w:rPr>
        <w:t>A) 2800 mL</w:t>
      </w:r>
    </w:p>
    <w:p>
      <w:r>
        <w:rPr>
          <w:rFonts w:ascii="Arial" w:hAnsi="Arial"/>
          <w:b w:val="0"/>
          <w:sz w:val="24"/>
        </w:rPr>
        <w:t>B) 5600 mL</w:t>
      </w:r>
    </w:p>
    <w:p>
      <w:r>
        <w:rPr>
          <w:rFonts w:ascii="Arial" w:hAnsi="Arial"/>
          <w:b w:val="0"/>
          <w:sz w:val="24"/>
        </w:rPr>
        <w:t>C) 1400 mL</w:t>
      </w:r>
    </w:p>
    <w:p>
      <w:r>
        <w:rPr>
          <w:rFonts w:ascii="Arial" w:hAnsi="Arial"/>
          <w:b w:val="0"/>
          <w:sz w:val="24"/>
        </w:rPr>
        <w:t>D) 4200 mL</w:t>
      </w:r>
    </w:p>
    <w:p>
      <w:r>
        <w:rPr>
          <w:rFonts w:ascii="Arial" w:hAnsi="Arial"/>
          <w:b/>
          <w:sz w:val="24"/>
        </w:rPr>
        <w:t>Respuesta: A</w:t>
      </w:r>
    </w:p>
    <w:p>
      <w:r>
        <w:rPr>
          <w:rFonts w:ascii="Arial" w:hAnsi="Arial"/>
          <w:b w:val="0"/>
          <w:sz w:val="24"/>
        </w:rPr>
        <w:t>Explicación: Fórmula: 2 mL × kg × %SCQ = 2 × 70 × 40 = 5600 mL total. 50% en primeras 8 horas = 2800 mL.</w:t>
      </w:r>
    </w:p>
    <w:p>
      <w:r>
        <w:rPr>
          <w:rFonts w:ascii="Arial" w:hAnsi="Arial"/>
          <w:b/>
          <w:sz w:val="24"/>
        </w:rPr>
        <w:t>Sesgo que activa: Cierre prematuro — dar volumen total sin dividir en intervalos.</w:t>
      </w:r>
    </w:p>
    <w:p/>
    <w:p>
      <w:r>
        <w:rPr>
          <w:rFonts w:ascii="Arial" w:hAnsi="Arial"/>
          <w:b/>
          <w:sz w:val="24"/>
        </w:rPr>
        <w:t>Pregunta 2</w:t>
      </w:r>
    </w:p>
    <w:p>
      <w:r>
        <w:rPr>
          <w:rFonts w:ascii="Arial" w:hAnsi="Arial"/>
          <w:b w:val="0"/>
          <w:sz w:val="24"/>
        </w:rPr>
        <w:t>Niño de 3 años, peso 15 kg, quemaduras segundo y tercer grado en 25% SCQ. ¿Volumen total de Ringer lactato?</w:t>
      </w:r>
    </w:p>
    <w:p>
      <w:r>
        <w:rPr>
          <w:rFonts w:ascii="Arial" w:hAnsi="Arial"/>
          <w:b w:val="0"/>
          <w:sz w:val="24"/>
        </w:rPr>
        <w:t>A) 750 mL</w:t>
      </w:r>
    </w:p>
    <w:p>
      <w:r>
        <w:rPr>
          <w:rFonts w:ascii="Arial" w:hAnsi="Arial"/>
          <w:b w:val="0"/>
          <w:sz w:val="24"/>
        </w:rPr>
        <w:t>B) 1125 mL</w:t>
      </w:r>
    </w:p>
    <w:p>
      <w:r>
        <w:rPr>
          <w:rFonts w:ascii="Arial" w:hAnsi="Arial"/>
          <w:b w:val="0"/>
          <w:sz w:val="24"/>
        </w:rPr>
        <w:t>C) 1500 mL</w:t>
      </w:r>
    </w:p>
    <w:p>
      <w:r>
        <w:rPr>
          <w:rFonts w:ascii="Arial" w:hAnsi="Arial"/>
          <w:b w:val="0"/>
          <w:sz w:val="24"/>
        </w:rPr>
        <w:t>D) 1875 mL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Niños &lt;14 años: 3 mL/kg/%SCQ = 3 × 15 × 25 = 1125 mL. Agregar solución glucosada 5% de mantenimiento en niños &lt;30 kg.</w:t>
      </w:r>
    </w:p>
    <w:p>
      <w:r>
        <w:rPr>
          <w:rFonts w:ascii="Arial" w:hAnsi="Arial"/>
          <w:b/>
          <w:sz w:val="24"/>
        </w:rPr>
        <w:t>Sesgo que activa: Anclaje — usar fórmula de adultos (2 mL) sin ajustar a pediátrico.</w:t>
      </w:r>
    </w:p>
    <w:p/>
    <w:p>
      <w:r>
        <w:rPr>
          <w:rFonts w:ascii="Arial" w:hAnsi="Arial"/>
          <w:b/>
          <w:sz w:val="24"/>
        </w:rPr>
        <w:t>Pregunta 3</w:t>
      </w:r>
    </w:p>
    <w:p>
      <w:r>
        <w:rPr>
          <w:rFonts w:ascii="Arial" w:hAnsi="Arial"/>
          <w:b w:val="0"/>
          <w:sz w:val="24"/>
        </w:rPr>
        <w:t>Paciente quemado, llega a 3 horas post-lesión, 30% SCQ, adulto 80 kg. ¿Volumen de las primeras 8 horas si aún no recibió líquidos?</w:t>
      </w:r>
    </w:p>
    <w:p>
      <w:r>
        <w:rPr>
          <w:rFonts w:ascii="Arial" w:hAnsi="Arial"/>
          <w:b w:val="0"/>
          <w:sz w:val="24"/>
        </w:rPr>
        <w:t>A) 4800 mL en las siguientes 5 horas</w:t>
      </w:r>
    </w:p>
    <w:p>
      <w:r>
        <w:rPr>
          <w:rFonts w:ascii="Arial" w:hAnsi="Arial"/>
          <w:b w:val="0"/>
          <w:sz w:val="24"/>
        </w:rPr>
        <w:t>B) 4800 mL en las siguientes 8 horas</w:t>
      </w:r>
    </w:p>
    <w:p>
      <w:r>
        <w:rPr>
          <w:rFonts w:ascii="Arial" w:hAnsi="Arial"/>
          <w:b w:val="0"/>
          <w:sz w:val="24"/>
        </w:rPr>
        <w:t>C) 2400 mL en las siguientes 5 horas</w:t>
      </w:r>
    </w:p>
    <w:p>
      <w:r>
        <w:rPr>
          <w:rFonts w:ascii="Arial" w:hAnsi="Arial"/>
          <w:b w:val="0"/>
          <w:sz w:val="24"/>
        </w:rPr>
        <w:t>D) 9600 mL en las primeras 8 horas</w:t>
      </w:r>
    </w:p>
    <w:p>
      <w:r>
        <w:rPr>
          <w:rFonts w:ascii="Arial" w:hAnsi="Arial"/>
          <w:b/>
          <w:sz w:val="24"/>
        </w:rPr>
        <w:t>Respuesta: C</w:t>
      </w:r>
    </w:p>
    <w:p>
      <w:r>
        <w:rPr>
          <w:rFonts w:ascii="Arial" w:hAnsi="Arial"/>
          <w:b w:val="0"/>
          <w:sz w:val="24"/>
        </w:rPr>
        <w:t>Explicación: Total = 2 × 80 × 30 = 4800 mL. 50% en primeras 8 horas = 2400 mL. Si llega a 3 horas, esas 2400 mL se administran en las 5 horas restantes, pero la cantidad destinada a las primeras 8 horas sigue siendo 2400 mL.</w:t>
      </w:r>
    </w:p>
    <w:p>
      <w:r>
        <w:rPr>
          <w:rFonts w:ascii="Arial" w:hAnsi="Arial"/>
          <w:b/>
          <w:sz w:val="24"/>
        </w:rPr>
        <w:t>Sesgo que activa: Sobreconfianza — calcular volumen total sin dividir en intervalos según fórmula de Parkland.</w:t>
      </w:r>
    </w:p>
    <w:p/>
    <w:p>
      <w:r>
        <w:rPr>
          <w:rFonts w:ascii="Arial" w:hAnsi="Arial"/>
          <w:b/>
          <w:sz w:val="24"/>
        </w:rPr>
        <w:t>Pregunta 4</w:t>
      </w:r>
    </w:p>
    <w:p>
      <w:r>
        <w:rPr>
          <w:rFonts w:ascii="Arial" w:hAnsi="Arial"/>
          <w:b w:val="0"/>
          <w:sz w:val="24"/>
        </w:rPr>
        <w:t>Quemadura química por ácido fluorhídrico en mano, dolor intenso, prolongación QT en ECG. ¿Tratamiento específico?</w:t>
      </w:r>
    </w:p>
    <w:p>
      <w:r>
        <w:rPr>
          <w:rFonts w:ascii="Arial" w:hAnsi="Arial"/>
          <w:b w:val="0"/>
          <w:sz w:val="24"/>
        </w:rPr>
        <w:t>A) Bicarbonato de sodio tópico</w:t>
      </w:r>
    </w:p>
    <w:p>
      <w:r>
        <w:rPr>
          <w:rFonts w:ascii="Arial" w:hAnsi="Arial"/>
          <w:b w:val="0"/>
          <w:sz w:val="24"/>
        </w:rPr>
        <w:t>B) Gel de gluconato de calcio al 2.5%</w:t>
      </w:r>
    </w:p>
    <w:p>
      <w:r>
        <w:rPr>
          <w:rFonts w:ascii="Arial" w:hAnsi="Arial"/>
          <w:b w:val="0"/>
          <w:sz w:val="24"/>
        </w:rPr>
        <w:t>C) Aceite vegetal</w:t>
      </w:r>
    </w:p>
    <w:p>
      <w:r>
        <w:rPr>
          <w:rFonts w:ascii="Arial" w:hAnsi="Arial"/>
          <w:b w:val="0"/>
          <w:sz w:val="24"/>
        </w:rPr>
        <w:t>D) Solo irrigación con agua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Ácido fluorhídrico: gluconato de calcio al 2.5% tópico cada 15 min (chelear ion fluoruro). Si dolor persiste: inyecciones intradérmicas o intraarteriales de gluconato de calcio al 10%. Monitorear QT (hipocalcemia → arritmias).</w:t>
      </w:r>
    </w:p>
    <w:p>
      <w:r>
        <w:rPr>
          <w:rFonts w:ascii="Arial" w:hAnsi="Arial"/>
          <w:b/>
          <w:sz w:val="24"/>
        </w:rPr>
        <w:t>Sesgo que activa: Disponibilidad — usar bicarbonato por ser químico sin conocer toxicidad específica del fluoruro.</w:t>
      </w:r>
    </w:p>
    <w:p/>
    <w:p>
      <w:r>
        <w:rPr>
          <w:rFonts w:ascii="Arial" w:hAnsi="Arial"/>
          <w:b/>
          <w:sz w:val="24"/>
        </w:rPr>
        <w:t>Pregunta 5</w:t>
      </w:r>
    </w:p>
    <w:p>
      <w:r>
        <w:rPr>
          <w:rFonts w:ascii="Arial" w:hAnsi="Arial"/>
          <w:b w:val="0"/>
          <w:sz w:val="24"/>
        </w:rPr>
        <w:t>Paciente quemado, carboxihemoglobina 18%, exposición a humo en incendio. ¿Indicación de intubación?</w:t>
      </w:r>
    </w:p>
    <w:p>
      <w:r>
        <w:rPr>
          <w:rFonts w:ascii="Arial" w:hAnsi="Arial"/>
          <w:b w:val="0"/>
          <w:sz w:val="24"/>
        </w:rPr>
        <w:t>A) No, porque COHb &lt;25%</w:t>
      </w:r>
    </w:p>
    <w:p>
      <w:r>
        <w:rPr>
          <w:rFonts w:ascii="Arial" w:hAnsi="Arial"/>
          <w:b w:val="0"/>
          <w:sz w:val="24"/>
        </w:rPr>
        <w:t>B) Considerar intubación si lesión por inhalación + signos de obstrucción</w:t>
      </w:r>
    </w:p>
    <w:p>
      <w:r>
        <w:rPr>
          <w:rFonts w:ascii="Arial" w:hAnsi="Arial"/>
          <w:b w:val="0"/>
          <w:sz w:val="24"/>
        </w:rPr>
        <w:t>C) Solo oxígeno de bajo flujo</w:t>
      </w:r>
    </w:p>
    <w:p>
      <w:r>
        <w:rPr>
          <w:rFonts w:ascii="Arial" w:hAnsi="Arial"/>
          <w:b w:val="0"/>
          <w:sz w:val="24"/>
        </w:rPr>
        <w:t>D) Ningún tratamiento especial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COHb &gt;10% en incendio sugiere lesión por inhalación. Intubación si: estridor, ronquera, quemaduras faciales/circunferenciales de cuello, edema, disminución de conciencia, signos de compromiso respiratorio. Oxígeno 100% reduce vida media CO.</w:t>
      </w:r>
    </w:p>
    <w:p>
      <w:r>
        <w:rPr>
          <w:rFonts w:ascii="Arial" w:hAnsi="Arial"/>
          <w:b/>
          <w:sz w:val="24"/>
        </w:rPr>
        <w:t>Sesgo que activa: Prevalencia base — pensar que COHb &lt;25% es benigno sin considerar lesión por inhalación.</w:t>
      </w:r>
    </w:p>
    <w:p/>
    <w:p>
      <w:r>
        <w:rPr>
          <w:rFonts w:ascii="Arial" w:hAnsi="Arial"/>
          <w:b/>
          <w:sz w:val="24"/>
        </w:rPr>
        <w:t>Pregunta 6</w:t>
      </w:r>
    </w:p>
    <w:p>
      <w:r>
        <w:rPr>
          <w:rFonts w:ascii="Arial" w:hAnsi="Arial"/>
          <w:b w:val="0"/>
          <w:sz w:val="24"/>
        </w:rPr>
        <w:t>Paciente quemado, 12% SCQ segundo grado superficial en antebrazos. ¿Tipo de quemadura según gravedad?</w:t>
      </w:r>
    </w:p>
    <w:p>
      <w:r>
        <w:rPr>
          <w:rFonts w:ascii="Arial" w:hAnsi="Arial"/>
          <w:b w:val="0"/>
          <w:sz w:val="24"/>
        </w:rPr>
        <w:t>A) Quemadura mayor</w:t>
      </w:r>
    </w:p>
    <w:p>
      <w:r>
        <w:rPr>
          <w:rFonts w:ascii="Arial" w:hAnsi="Arial"/>
          <w:b w:val="0"/>
          <w:sz w:val="24"/>
        </w:rPr>
        <w:t>B) Quemadura moderada</w:t>
      </w:r>
    </w:p>
    <w:p>
      <w:r>
        <w:rPr>
          <w:rFonts w:ascii="Arial" w:hAnsi="Arial"/>
          <w:b w:val="0"/>
          <w:sz w:val="24"/>
        </w:rPr>
        <w:t>C) Quemadura leve</w:t>
      </w:r>
    </w:p>
    <w:p>
      <w:r>
        <w:rPr>
          <w:rFonts w:ascii="Arial" w:hAnsi="Arial"/>
          <w:b w:val="0"/>
          <w:sz w:val="24"/>
        </w:rPr>
        <w:t>D) Quemadura crítica</w:t>
      </w:r>
    </w:p>
    <w:p>
      <w:r>
        <w:rPr>
          <w:rFonts w:ascii="Arial" w:hAnsi="Arial"/>
          <w:b/>
          <w:sz w:val="24"/>
        </w:rPr>
        <w:t>Respuesta: C</w:t>
      </w:r>
    </w:p>
    <w:p>
      <w:r>
        <w:rPr>
          <w:rFonts w:ascii="Arial" w:hAnsi="Arial"/>
          <w:b w:val="0"/>
          <w:sz w:val="24"/>
        </w:rPr>
        <w:t>Explicación: Segundo grado superficial &lt;15% SCQ en adulto = quemadura leve. No requiere hospitalización obligatoria si áreas especiales no afectadas.</w:t>
      </w:r>
    </w:p>
    <w:p>
      <w:r>
        <w:rPr>
          <w:rFonts w:ascii="Arial" w:hAnsi="Arial"/>
          <w:b/>
          <w:sz w:val="24"/>
        </w:rPr>
        <w:t>Sesgo que activa: Cierre prematuro — hospitalizar toda quemadura sin clasificar gravedad.</w:t>
      </w:r>
    </w:p>
    <w:p/>
    <w:p>
      <w:r>
        <w:rPr>
          <w:rFonts w:ascii="Arial" w:hAnsi="Arial"/>
          <w:b/>
          <w:sz w:val="24"/>
        </w:rPr>
        <w:t>Pregunta 7</w:t>
      </w:r>
    </w:p>
    <w:p>
      <w:r>
        <w:rPr>
          <w:rFonts w:ascii="Arial" w:hAnsi="Arial"/>
          <w:b w:val="0"/>
          <w:sz w:val="24"/>
        </w:rPr>
        <w:t>Niño de 2 años, quemadura por líquido caliente en antebrazo y mano, ampollas delgadas, roja intensa, muy dolorosa. ¿Grado?</w:t>
      </w:r>
    </w:p>
    <w:p>
      <w:r>
        <w:rPr>
          <w:rFonts w:ascii="Arial" w:hAnsi="Arial"/>
          <w:b w:val="0"/>
          <w:sz w:val="24"/>
        </w:rPr>
        <w:t>A) Primer grado</w:t>
      </w:r>
    </w:p>
    <w:p>
      <w:r>
        <w:rPr>
          <w:rFonts w:ascii="Arial" w:hAnsi="Arial"/>
          <w:b w:val="0"/>
          <w:sz w:val="24"/>
        </w:rPr>
        <w:t>B) Segundo grado superficial</w:t>
      </w:r>
    </w:p>
    <w:p>
      <w:r>
        <w:rPr>
          <w:rFonts w:ascii="Arial" w:hAnsi="Arial"/>
          <w:b w:val="0"/>
          <w:sz w:val="24"/>
        </w:rPr>
        <w:t>C) Segundo grado profundo</w:t>
      </w:r>
    </w:p>
    <w:p>
      <w:r>
        <w:rPr>
          <w:rFonts w:ascii="Arial" w:hAnsi="Arial"/>
          <w:b w:val="0"/>
          <w:sz w:val="24"/>
        </w:rPr>
        <w:t>D) Tercer grado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Ampollas delgadas, roja intensa, palidece a presión, muy dolorosa = segundo grado superficial. Curación &lt;14 días. Tercer grado: indolora, blanca/acartonada.</w:t>
      </w:r>
    </w:p>
    <w:p>
      <w:r>
        <w:rPr>
          <w:rFonts w:ascii="Arial" w:hAnsi="Arial"/>
          <w:b/>
          <w:sz w:val="24"/>
        </w:rPr>
        <w:t>Sesgo que activa: Anclaje — clasificar como tercer grado por ampollas sin evaluar dolor y color.</w:t>
      </w:r>
    </w:p>
    <w:p/>
    <w:p>
      <w:r>
        <w:rPr>
          <w:rFonts w:ascii="Arial" w:hAnsi="Arial"/>
          <w:b/>
          <w:sz w:val="24"/>
        </w:rPr>
        <w:t>Pregunta 8</w:t>
      </w:r>
    </w:p>
    <w:p>
      <w:r>
        <w:rPr>
          <w:rFonts w:ascii="Arial" w:hAnsi="Arial"/>
          <w:b w:val="0"/>
          <w:sz w:val="24"/>
        </w:rPr>
        <w:t>Paciente quemado, 35% SCQ, uresis 15 mL/hora (adulto 70 kg). ¿Manejo?</w:t>
      </w:r>
    </w:p>
    <w:p>
      <w:r>
        <w:rPr>
          <w:rFonts w:ascii="Arial" w:hAnsi="Arial"/>
          <w:b w:val="0"/>
          <w:sz w:val="24"/>
        </w:rPr>
        <w:t>A) Aumentar líquidos de reanimación</w:t>
      </w:r>
    </w:p>
    <w:p>
      <w:r>
        <w:rPr>
          <w:rFonts w:ascii="Arial" w:hAnsi="Arial"/>
          <w:b w:val="0"/>
          <w:sz w:val="24"/>
        </w:rPr>
        <w:t>B) Disminuir líquidos</w:t>
      </w:r>
    </w:p>
    <w:p>
      <w:r>
        <w:rPr>
          <w:rFonts w:ascii="Arial" w:hAnsi="Arial"/>
          <w:b w:val="0"/>
          <w:sz w:val="24"/>
        </w:rPr>
        <w:t>C) Furosemida</w:t>
      </w:r>
    </w:p>
    <w:p>
      <w:r>
        <w:rPr>
          <w:rFonts w:ascii="Arial" w:hAnsi="Arial"/>
          <w:b w:val="0"/>
          <w:sz w:val="24"/>
        </w:rPr>
        <w:t>D) Mantener igual</w:t>
      </w:r>
    </w:p>
    <w:p>
      <w:r>
        <w:rPr>
          <w:rFonts w:ascii="Arial" w:hAnsi="Arial"/>
          <w:b/>
          <w:sz w:val="24"/>
        </w:rPr>
        <w:t>Respuesta: A</w:t>
      </w:r>
    </w:p>
    <w:p>
      <w:r>
        <w:rPr>
          <w:rFonts w:ascii="Arial" w:hAnsi="Arial"/>
          <w:b w:val="0"/>
          <w:sz w:val="24"/>
        </w:rPr>
        <w:t>Explicación: Meta uresis 0.5 mL/kg/h = 35 mL/h en adulto 70 kg. 15 mL/h = hipovolemia/reanimación insuficiente. Aumentar cristaloides.</w:t>
      </w:r>
    </w:p>
    <w:p>
      <w:r>
        <w:rPr>
          <w:rFonts w:ascii="Arial" w:hAnsi="Arial"/>
          <w:b/>
          <w:sz w:val="24"/>
        </w:rPr>
        <w:t>Sesgo que activa: Cierre prematuro — usar diurético por oliguria sin considerar reanimación.</w:t>
      </w:r>
    </w:p>
    <w:p/>
    <w:p>
      <w:r>
        <w:rPr>
          <w:rFonts w:ascii="Arial" w:hAnsi="Arial"/>
          <w:b/>
          <w:sz w:val="24"/>
        </w:rPr>
        <w:t>Pregunta 9</w:t>
      </w:r>
    </w:p>
    <w:p>
      <w:r>
        <w:rPr>
          <w:rFonts w:ascii="Arial" w:hAnsi="Arial"/>
          <w:b w:val="0"/>
          <w:sz w:val="24"/>
        </w:rPr>
        <w:t>Quemadura eléctrica por alta tensión, entrada en mano derecha, salida en pie. ¿Hallazgo esperado?</w:t>
      </w:r>
    </w:p>
    <w:p>
      <w:r>
        <w:rPr>
          <w:rFonts w:ascii="Arial" w:hAnsi="Arial"/>
          <w:b w:val="0"/>
          <w:sz w:val="24"/>
        </w:rPr>
        <w:t>A) Quemadura superficial en piel de entrada</w:t>
      </w:r>
    </w:p>
    <w:p>
      <w:r>
        <w:rPr>
          <w:rFonts w:ascii="Arial" w:hAnsi="Arial"/>
          <w:b w:val="0"/>
          <w:sz w:val="24"/>
        </w:rPr>
        <w:t>B) Lesión profunda de músculo, nervios y vasos a pesar de piel relativamente indemne</w:t>
      </w:r>
    </w:p>
    <w:p>
      <w:r>
        <w:rPr>
          <w:rFonts w:ascii="Arial" w:hAnsi="Arial"/>
          <w:b w:val="0"/>
          <w:sz w:val="24"/>
        </w:rPr>
        <w:t>C) Solo quemadura en pie</w:t>
      </w:r>
    </w:p>
    <w:p>
      <w:r>
        <w:rPr>
          <w:rFonts w:ascii="Arial" w:hAnsi="Arial"/>
          <w:b w:val="0"/>
          <w:sz w:val="24"/>
        </w:rPr>
        <w:t>D) Fractura de huesos expuesta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Quemadura eléctrica: corriente sigue tejidos de menor resistencia (músculo, nervios, vasos). Piel de mayor resistencia puede parecer indemne mientras músculo está necrosado. Requiere fasciotomías/fasciotomía exploradora.</w:t>
      </w:r>
    </w:p>
    <w:p>
      <w:r>
        <w:rPr>
          <w:rFonts w:ascii="Arial" w:hAnsi="Arial"/>
          <w:b/>
          <w:sz w:val="24"/>
        </w:rPr>
        <w:t>Sesgo que activa: Anclaje — evaluar solo piel visible sin considerar daño interno profundo.</w:t>
      </w:r>
    </w:p>
    <w:p/>
    <w:p>
      <w:r>
        <w:rPr>
          <w:rFonts w:ascii="Arial" w:hAnsi="Arial"/>
          <w:b/>
          <w:sz w:val="24"/>
        </w:rPr>
        <w:t>Pregunta 10</w:t>
      </w:r>
    </w:p>
    <w:p>
      <w:r>
        <w:rPr>
          <w:rFonts w:ascii="Arial" w:hAnsi="Arial"/>
          <w:b w:val="0"/>
          <w:sz w:val="24"/>
        </w:rPr>
        <w:t>Quemadura química por lejía (hidróxido de sodio) en antebrazo. ¿Manejo inicial?</w:t>
      </w:r>
    </w:p>
    <w:p>
      <w:r>
        <w:rPr>
          <w:rFonts w:ascii="Arial" w:hAnsi="Arial"/>
          <w:b w:val="0"/>
          <w:sz w:val="24"/>
        </w:rPr>
        <w:t>A) Neutralizar con ácido acético</w:t>
      </w:r>
    </w:p>
    <w:p>
      <w:r>
        <w:rPr>
          <w:rFonts w:ascii="Arial" w:hAnsi="Arial"/>
          <w:b w:val="0"/>
          <w:sz w:val="24"/>
        </w:rPr>
        <w:t>B) Irrigación abundante con agua 20-30 minutos</w:t>
      </w:r>
    </w:p>
    <w:p>
      <w:r>
        <w:rPr>
          <w:rFonts w:ascii="Arial" w:hAnsi="Arial"/>
          <w:b w:val="0"/>
          <w:sz w:val="24"/>
        </w:rPr>
        <w:t>C) Aplicar aceite</w:t>
      </w:r>
    </w:p>
    <w:p>
      <w:r>
        <w:rPr>
          <w:rFonts w:ascii="Arial" w:hAnsi="Arial"/>
          <w:b w:val="0"/>
          <w:sz w:val="24"/>
        </w:rPr>
        <w:t>D) Dejar secar al aire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Quemaduras químicas: irrigación abundante con agua tibia 20-30 min. Alcalis penetran profundamente (licuefacción); requieren mayor tiempo de irrigación. No neutralizar (reacción exotérmica adicional).</w:t>
      </w:r>
    </w:p>
    <w:p>
      <w:r>
        <w:rPr>
          <w:rFonts w:ascii="Arial" w:hAnsi="Arial"/>
          <w:b/>
          <w:sz w:val="24"/>
        </w:rPr>
        <w:t>Sesgo que activa: Disponibilidad — intentar neutralizar químico sin conocer riesgo de reacción exotérmica.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