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0489657fd0d28c60eed4f0029203d092dbfe1b4"/>
    <w:p>
      <w:pPr>
        <w:pStyle w:val="Heading1"/>
      </w:pPr>
      <w:r>
        <w:t xml:space="preserve">Entrenamiento ENARM - Martes 21 de julio de 2026 (Tarde) - Gineco-Obstetricia</w:t>
      </w:r>
    </w:p>
    <w:bookmarkStart w:id="31" w:name="tema-síndrome-de-ovarios-poliquísticos"/>
    <w:p>
      <w:pPr>
        <w:pStyle w:val="Heading2"/>
      </w:pPr>
      <w:r>
        <w:t xml:space="preserve">Tema: Síndrome de Ovarios Poliquísticos</w:t>
      </w:r>
    </w:p>
    <w:bookmarkStart w:id="20" w:name="illness-script"/>
    <w:p>
      <w:pPr>
        <w:pStyle w:val="Heading3"/>
      </w:pPr>
      <w:r>
        <w:t xml:space="preserve">Illness Script</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Aspecto</w:t>
            </w:r>
          </w:p>
        </w:tc>
        <w:tc>
          <w:tcPr/>
          <w:p>
            <w:pPr>
              <w:pStyle w:val="Compact"/>
              <w:jc w:val="left"/>
            </w:pPr>
            <w:r>
              <w:t xml:space="preserve">Descripción</w:t>
            </w:r>
          </w:p>
        </w:tc>
      </w:tr>
      <w:tr>
        <w:tc>
          <w:tcPr/>
          <w:p>
            <w:pPr>
              <w:pStyle w:val="Compact"/>
              <w:jc w:val="left"/>
            </w:pPr>
            <w:r>
              <w:rPr>
                <w:bCs/>
                <w:b/>
              </w:rPr>
              <w:t xml:space="preserve">Epidemiología</w:t>
            </w:r>
          </w:p>
        </w:tc>
        <w:tc>
          <w:tcPr/>
          <w:p>
            <w:pPr>
              <w:pStyle w:val="Compact"/>
              <w:jc w:val="left"/>
            </w:pPr>
            <w:r>
              <w:t xml:space="preserve">6-10% de mujeres en edad reproductiva. Riesgo mayor con familiar de primer grado afectado. Usualmente se manifiesta al inicio de la pubertad.</w:t>
            </w:r>
          </w:p>
        </w:tc>
      </w:tr>
      <w:tr>
        <w:tc>
          <w:tcPr/>
          <w:p>
            <w:pPr>
              <w:pStyle w:val="Compact"/>
              <w:jc w:val="left"/>
            </w:pPr>
            <w:r>
              <w:rPr>
                <w:bCs/>
                <w:b/>
              </w:rPr>
              <w:t xml:space="preserve">Curso temporal</w:t>
            </w:r>
          </w:p>
        </w:tc>
        <w:tc>
          <w:tcPr/>
          <w:p>
            <w:pPr>
              <w:pStyle w:val="Compact"/>
              <w:jc w:val="left"/>
            </w:pPr>
            <w:r>
              <w:t xml:space="preserve">Enfermedad crónica desde pubertad. Oligomenorrea/amenorrea crónica. Infertilidad por anovulación. Riesgo de síndrome metabólico y diabetes tipo 2 a largo plazo.</w:t>
            </w:r>
          </w:p>
        </w:tc>
      </w:tr>
      <w:tr>
        <w:tc>
          <w:tcPr/>
          <w:p>
            <w:pPr>
              <w:pStyle w:val="Compact"/>
              <w:jc w:val="left"/>
            </w:pPr>
            <w:r>
              <w:rPr>
                <w:bCs/>
                <w:b/>
              </w:rPr>
              <w:t xml:space="preserve">Fisiopatología</w:t>
            </w:r>
          </w:p>
        </w:tc>
        <w:tc>
          <w:tcPr/>
          <w:p>
            <w:pPr>
              <w:pStyle w:val="Compact"/>
              <w:jc w:val="left"/>
            </w:pPr>
            <w:r>
              <w:t xml:space="preserve">Aumento de pulsos de LH → hiperandrogenismo ovárico (células tecales). Conversión periférica de andrógenos → estrógeno tónico elevado → inhibición de FSH → anovulación. Resistencia a insulina + hiperinsulinemia → supresión de SHBG → testosterona libre aumentada.</w:t>
            </w:r>
          </w:p>
        </w:tc>
      </w:tr>
      <w:tr>
        <w:tc>
          <w:tcPr/>
          <w:p>
            <w:pPr>
              <w:pStyle w:val="Compact"/>
              <w:jc w:val="left"/>
            </w:pPr>
            <w:r>
              <w:rPr>
                <w:bCs/>
                <w:b/>
              </w:rPr>
              <w:t xml:space="preserve">Presentación clínica</w:t>
            </w:r>
          </w:p>
        </w:tc>
        <w:tc>
          <w:tcPr/>
          <w:p>
            <w:pPr>
              <w:pStyle w:val="Compact"/>
              <w:jc w:val="left"/>
            </w:pPr>
            <w:r>
              <w:t xml:space="preserve">Hirsutismo (90%), irregularidad menstrual (90%), infertilidad (75%). Obesidad variable. Acanthosis nigricans en algunas. Ovarios poliquísticos en ecografía (</w:t>
            </w:r>
            <w:r>
              <w:t xml:space="preserve">‘</w:t>
            </w:r>
            <w:r>
              <w:t xml:space="preserve">collar de perlas</w:t>
            </w:r>
            <w:r>
              <w:t xml:space="preserve">’</w:t>
            </w:r>
            <w:r>
              <w:t xml:space="preserve">).</w:t>
            </w:r>
          </w:p>
        </w:tc>
      </w:tr>
      <w:tr>
        <w:tc>
          <w:tcPr/>
          <w:p>
            <w:pPr>
              <w:pStyle w:val="Compact"/>
              <w:jc w:val="left"/>
            </w:pPr>
            <w:r>
              <w:rPr>
                <w:bCs/>
                <w:b/>
              </w:rPr>
              <w:t xml:space="preserve">Diagnóstico</w:t>
            </w:r>
          </w:p>
        </w:tc>
        <w:tc>
          <w:tcPr/>
          <w:p>
            <w:pPr>
              <w:pStyle w:val="Compact"/>
              <w:jc w:val="left"/>
            </w:pPr>
            <w:r>
              <w:t xml:space="preserve">Diagnóstico de exclusión. Rotterdam (≥2 de 3): hiperandrogenismo o hiperandrogenemia / oligo/anovulación / ovarios poliquísticos. AE-PCOS: hiperandrogenismo obligatorio + otro criterio. Descartar otras causas de hiperandrogenismo.</w:t>
            </w:r>
          </w:p>
        </w:tc>
      </w:tr>
      <w:tr>
        <w:tc>
          <w:tcPr/>
          <w:p>
            <w:pPr>
              <w:pStyle w:val="Compact"/>
              <w:jc w:val="left"/>
            </w:pPr>
            <w:r>
              <w:rPr>
                <w:bCs/>
                <w:b/>
              </w:rPr>
              <w:t xml:space="preserve">Tratamiento</w:t>
            </w:r>
          </w:p>
        </w:tc>
        <w:tc>
          <w:tcPr/>
          <w:p>
            <w:pPr>
              <w:pStyle w:val="Compact"/>
              <w:jc w:val="left"/>
            </w:pPr>
            <w:r>
              <w:t xml:space="preserve">Control ponderal, metformina, anticonceptivos orales (supresión ovárica), bloqueo androgénico (espironolactona, flutamida, ciproterona, finasterida). Infertilidad: clomifeno/tamoxifeno 1a línea; FSH recombinante si no responde. Progestágenos cíclicos para protección endometrial.</w:t>
            </w:r>
          </w:p>
        </w:tc>
      </w:tr>
      <w:tr>
        <w:tc>
          <w:tcPr/>
          <w:p>
            <w:pPr>
              <w:pStyle w:val="Compact"/>
              <w:jc w:val="left"/>
            </w:pPr>
            <w:r>
              <w:rPr>
                <w:bCs/>
                <w:b/>
              </w:rPr>
              <w:t xml:space="preserve">Diagnósticos diferenciales</w:t>
            </w:r>
          </w:p>
        </w:tc>
        <w:tc>
          <w:tcPr/>
          <w:p>
            <w:pPr>
              <w:pStyle w:val="Compact"/>
              <w:jc w:val="left"/>
            </w:pPr>
            <w:r>
              <w:t xml:space="preserve">Hiperplasia suprarrenal congénita, síndrome de Cushing, tumor productor de andrógenos (ovariano o suprarrenal), acromegalia, hipotiroidismo, hiperprolactinemia, resistencia a insulina severa.</w:t>
            </w:r>
          </w:p>
        </w:tc>
      </w:tr>
    </w:tbl>
    <w:p>
      <w:pPr>
        <w:pStyle w:val="BodyText"/>
      </w:pPr>
      <w:r>
        <w:rPr>
          <w:bCs/>
          <w:b/>
        </w:rPr>
        <w:t xml:space="preserve">ANTES de ver la respuesta, explica en voz alta por qué elegiste esa opción.</w:t>
      </w:r>
    </w:p>
    <w:p>
      <w:r>
        <w:pict>
          <v:rect style="width:0;height:1.5pt" o:hralign="center" o:hrstd="t" o:hr="t"/>
        </w:pict>
      </w:r>
    </w:p>
    <w:bookmarkEnd w:id="20"/>
    <w:bookmarkStart w:id="21" w:name="pregunta-1"/>
    <w:p>
      <w:pPr>
        <w:pStyle w:val="Heading3"/>
      </w:pPr>
      <w:r>
        <w:t xml:space="preserve">Pregunta 1</w:t>
      </w:r>
    </w:p>
    <w:p>
      <w:pPr>
        <w:pStyle w:val="FirstParagraph"/>
      </w:pPr>
      <w:r>
        <w:t xml:space="preserve">Mujer de 26 años con oligomenorrea desde la menarca, hirsutismo moderado, IMC 31 kg/m². Ecografía: ovarios con múltiples folículos periféricos (</w:t>
      </w:r>
      <w:r>
        <w:t xml:space="preserve">‘</w:t>
      </w:r>
      <w:r>
        <w:t xml:space="preserve">collar de perlas</w:t>
      </w:r>
      <w:r>
        <w:t xml:space="preserve">’</w:t>
      </w:r>
      <w:r>
        <w:t xml:space="preserve">). Testosterona total elevada, LH/FSH &gt;2.</w:t>
      </w:r>
    </w:p>
    <w:p>
      <w:pPr>
        <w:numPr>
          <w:ilvl w:val="0"/>
          <w:numId w:val="1001"/>
        </w:numPr>
        <w:pStyle w:val="Compact"/>
      </w:pPr>
      <w:r>
        <w:rPr>
          <w:bCs/>
          <w:b/>
        </w:rPr>
        <w:t xml:space="preserve">A.</w:t>
      </w:r>
      <w:r>
        <w:t xml:space="preserve"> </w:t>
      </w:r>
      <w:r>
        <w:t xml:space="preserve">Hiperplasia suprarrenal congénita</w:t>
      </w:r>
    </w:p>
    <w:p>
      <w:pPr>
        <w:numPr>
          <w:ilvl w:val="0"/>
          <w:numId w:val="1001"/>
        </w:numPr>
        <w:pStyle w:val="Compact"/>
      </w:pPr>
      <w:r>
        <w:rPr>
          <w:bCs/>
          <w:b/>
        </w:rPr>
        <w:t xml:space="preserve">B.</w:t>
      </w:r>
      <w:r>
        <w:t xml:space="preserve"> </w:t>
      </w:r>
      <w:r>
        <w:t xml:space="preserve">Síndrome de ovarios poliquísticos</w:t>
      </w:r>
    </w:p>
    <w:p>
      <w:pPr>
        <w:numPr>
          <w:ilvl w:val="0"/>
          <w:numId w:val="1001"/>
        </w:numPr>
        <w:pStyle w:val="Compact"/>
      </w:pPr>
      <w:r>
        <w:rPr>
          <w:bCs/>
          <w:b/>
        </w:rPr>
        <w:t xml:space="preserve">C.</w:t>
      </w:r>
      <w:r>
        <w:t xml:space="preserve"> </w:t>
      </w:r>
      <w:r>
        <w:t xml:space="preserve">Síndrome de Cushing</w:t>
      </w:r>
    </w:p>
    <w:p>
      <w:pPr>
        <w:numPr>
          <w:ilvl w:val="0"/>
          <w:numId w:val="1001"/>
        </w:numPr>
        <w:pStyle w:val="Compact"/>
      </w:pPr>
      <w:r>
        <w:rPr>
          <w:bCs/>
          <w:b/>
        </w:rPr>
        <w:t xml:space="preserve">D.</w:t>
      </w:r>
      <w:r>
        <w:t xml:space="preserve"> </w:t>
      </w:r>
      <w:r>
        <w:t xml:space="preserve">Tumor de ovario productor de andrógenos</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Oligomenorrea crónica + hirsutismo + ovarios poliquísticos + LH/FSH &gt;2 + testosterona elevada es clásico de SOP. Es diagnóstico de exclusión pero los hallazgos son muy sugestivos.</w:t>
      </w:r>
    </w:p>
    <w:p>
      <w:pPr>
        <w:pStyle w:val="BodyText"/>
      </w:pPr>
      <w:r>
        <w:rPr>
          <w:bCs/>
          <w:b/>
        </w:rPr>
        <w:t xml:space="preserve">Sesgo que activa:</w:t>
      </w:r>
      <w:r>
        <w:t xml:space="preserve"> </w:t>
      </w:r>
      <w:r>
        <w:t xml:space="preserve">prevalencia base</w:t>
      </w:r>
    </w:p>
    <w:p>
      <w:r>
        <w:pict>
          <v:rect style="width:0;height:1.5pt" o:hralign="center" o:hrstd="t" o:hr="t"/>
        </w:pict>
      </w:r>
    </w:p>
    <w:bookmarkEnd w:id="21"/>
    <w:bookmarkStart w:id="22" w:name="pregunta-2"/>
    <w:p>
      <w:pPr>
        <w:pStyle w:val="Heading3"/>
      </w:pPr>
      <w:r>
        <w:t xml:space="preserve">Pregunta 2</w:t>
      </w:r>
    </w:p>
    <w:p>
      <w:pPr>
        <w:pStyle w:val="FirstParagraph"/>
      </w:pPr>
      <w:r>
        <w:t xml:space="preserve">Paciente de 29 años con SOP, desea embarazo. No ha respondido a pérdida ponderal ni metformina. ¿Cuál es el tratamiento de primera línea para inducción de ovulación?</w:t>
      </w:r>
    </w:p>
    <w:p>
      <w:pPr>
        <w:numPr>
          <w:ilvl w:val="0"/>
          <w:numId w:val="1002"/>
        </w:numPr>
        <w:pStyle w:val="Compact"/>
      </w:pPr>
      <w:r>
        <w:rPr>
          <w:bCs/>
          <w:b/>
        </w:rPr>
        <w:t xml:space="preserve">A.</w:t>
      </w:r>
      <w:r>
        <w:t xml:space="preserve"> </w:t>
      </w:r>
      <w:r>
        <w:t xml:space="preserve">Fármacos de fertilización in vitro de inmediato</w:t>
      </w:r>
    </w:p>
    <w:p>
      <w:pPr>
        <w:numPr>
          <w:ilvl w:val="0"/>
          <w:numId w:val="1002"/>
        </w:numPr>
        <w:pStyle w:val="Compact"/>
      </w:pPr>
      <w:r>
        <w:rPr>
          <w:bCs/>
          <w:b/>
        </w:rPr>
        <w:t xml:space="preserve">B.</w:t>
      </w:r>
      <w:r>
        <w:t xml:space="preserve"> </w:t>
      </w:r>
      <w:r>
        <w:t xml:space="preserve">Clomifeno o tamoxifeno</w:t>
      </w:r>
    </w:p>
    <w:p>
      <w:pPr>
        <w:numPr>
          <w:ilvl w:val="0"/>
          <w:numId w:val="1002"/>
        </w:numPr>
        <w:pStyle w:val="Compact"/>
      </w:pPr>
      <w:r>
        <w:rPr>
          <w:bCs/>
          <w:b/>
        </w:rPr>
        <w:t xml:space="preserve">C.</w:t>
      </w:r>
      <w:r>
        <w:t xml:space="preserve"> </w:t>
      </w:r>
      <w:r>
        <w:t xml:space="preserve">Gonadotropinas recombinantes de inmediato</w:t>
      </w:r>
    </w:p>
    <w:p>
      <w:pPr>
        <w:numPr>
          <w:ilvl w:val="0"/>
          <w:numId w:val="1002"/>
        </w:numPr>
        <w:pStyle w:val="Compact"/>
      </w:pPr>
      <w:r>
        <w:rPr>
          <w:bCs/>
          <w:b/>
        </w:rPr>
        <w:t xml:space="preserve">D.</w:t>
      </w:r>
      <w:r>
        <w:t xml:space="preserve"> </w:t>
      </w:r>
      <w:r>
        <w:t xml:space="preserve">Agonistas de GnRH</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La GPC recomienda clomifeno o tamoxifeno como primera línea para inducción de ovulación en infertilidad por SOP. En ausencia de respuesta se usa FSH recombinante. FIV se reserva para fracaso a tratamiento de ovulación.</w:t>
      </w:r>
    </w:p>
    <w:p>
      <w:pPr>
        <w:pStyle w:val="BodyText"/>
      </w:pPr>
      <w:r>
        <w:rPr>
          <w:bCs/>
          <w:b/>
        </w:rPr>
        <w:t xml:space="preserve">Sesgo que activa:</w:t>
      </w:r>
      <w:r>
        <w:t xml:space="preserve"> </w:t>
      </w:r>
      <w:r>
        <w:t xml:space="preserve">cierre prematuro</w:t>
      </w:r>
    </w:p>
    <w:p>
      <w:r>
        <w:pict>
          <v:rect style="width:0;height:1.5pt" o:hralign="center" o:hrstd="t" o:hr="t"/>
        </w:pict>
      </w:r>
    </w:p>
    <w:bookmarkEnd w:id="22"/>
    <w:bookmarkStart w:id="23" w:name="pregunta-3"/>
    <w:p>
      <w:pPr>
        <w:pStyle w:val="Heading3"/>
      </w:pPr>
      <w:r>
        <w:t xml:space="preserve">Pregunta 3</w:t>
      </w:r>
    </w:p>
    <w:p>
      <w:pPr>
        <w:pStyle w:val="FirstParagraph"/>
      </w:pPr>
      <w:r>
        <w:t xml:space="preserve">Mujer de 32 años con SOP, IMC 33 kg/m², intolerancia a la glucosa en curva previa. ¿Qué seguimiento anual está indicado?</w:t>
      </w:r>
    </w:p>
    <w:p>
      <w:pPr>
        <w:numPr>
          <w:ilvl w:val="0"/>
          <w:numId w:val="1003"/>
        </w:numPr>
        <w:pStyle w:val="Compact"/>
      </w:pPr>
      <w:r>
        <w:rPr>
          <w:bCs/>
          <w:b/>
        </w:rPr>
        <w:t xml:space="preserve">A.</w:t>
      </w:r>
      <w:r>
        <w:t xml:space="preserve"> </w:t>
      </w:r>
      <w:r>
        <w:t xml:space="preserve">Solo ultrasonido pélvico anual</w:t>
      </w:r>
    </w:p>
    <w:p>
      <w:pPr>
        <w:numPr>
          <w:ilvl w:val="0"/>
          <w:numId w:val="1003"/>
        </w:numPr>
        <w:pStyle w:val="Compact"/>
      </w:pPr>
      <w:r>
        <w:rPr>
          <w:bCs/>
          <w:b/>
        </w:rPr>
        <w:t xml:space="preserve">B.</w:t>
      </w:r>
      <w:r>
        <w:t xml:space="preserve"> </w:t>
      </w:r>
      <w:r>
        <w:t xml:space="preserve">Curva de tolerancia a la glucosa anual</w:t>
      </w:r>
    </w:p>
    <w:p>
      <w:pPr>
        <w:numPr>
          <w:ilvl w:val="0"/>
          <w:numId w:val="1003"/>
        </w:numPr>
        <w:pStyle w:val="Compact"/>
      </w:pPr>
      <w:r>
        <w:rPr>
          <w:bCs/>
          <w:b/>
        </w:rPr>
        <w:t xml:space="preserve">C.</w:t>
      </w:r>
      <w:r>
        <w:t xml:space="preserve"> </w:t>
      </w:r>
      <w:r>
        <w:t xml:space="preserve">Tomografía de tórax anual</w:t>
      </w:r>
    </w:p>
    <w:p>
      <w:pPr>
        <w:numPr>
          <w:ilvl w:val="0"/>
          <w:numId w:val="1003"/>
        </w:numPr>
        <w:pStyle w:val="Compact"/>
      </w:pPr>
      <w:r>
        <w:rPr>
          <w:bCs/>
          <w:b/>
        </w:rPr>
        <w:t xml:space="preserve">D.</w:t>
      </w:r>
      <w:r>
        <w:t xml:space="preserve"> </w:t>
      </w:r>
      <w:r>
        <w:t xml:space="preserve">Resonancia magnética cerebral anual</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La GPC indica que pacientes con SOP deben ser evaluadas anualmente con curva de tolerancia a la glucosa si presentan intolerancia, historia familiar de DM, IMC &gt;30 o antecedente de diabetes gestacional.</w:t>
      </w:r>
    </w:p>
    <w:p>
      <w:pPr>
        <w:pStyle w:val="BodyText"/>
      </w:pPr>
      <w:r>
        <w:rPr>
          <w:bCs/>
          <w:b/>
        </w:rPr>
        <w:t xml:space="preserve">Sesgo que activa:</w:t>
      </w:r>
      <w:r>
        <w:t xml:space="preserve"> </w:t>
      </w:r>
      <w:r>
        <w:t xml:space="preserve">prevalencia base</w:t>
      </w:r>
    </w:p>
    <w:p>
      <w:r>
        <w:pict>
          <v:rect style="width:0;height:1.5pt" o:hralign="center" o:hrstd="t" o:hr="t"/>
        </w:pict>
      </w:r>
    </w:p>
    <w:bookmarkEnd w:id="23"/>
    <w:bookmarkStart w:id="24" w:name="pregunta-4"/>
    <w:p>
      <w:pPr>
        <w:pStyle w:val="Heading3"/>
      </w:pPr>
      <w:r>
        <w:t xml:space="preserve">Pregunta 4</w:t>
      </w:r>
    </w:p>
    <w:p>
      <w:pPr>
        <w:pStyle w:val="FirstParagraph"/>
      </w:pPr>
      <w:r>
        <w:t xml:space="preserve">Paciente de 24 años con SOP, sin deseo de fertilidad actual. ¿Cuál es el tratamiento de primera línea para control de síntomas y protección endometrial?</w:t>
      </w:r>
    </w:p>
    <w:p>
      <w:pPr>
        <w:numPr>
          <w:ilvl w:val="0"/>
          <w:numId w:val="1004"/>
        </w:numPr>
        <w:pStyle w:val="Compact"/>
      </w:pPr>
      <w:r>
        <w:rPr>
          <w:bCs/>
          <w:b/>
        </w:rPr>
        <w:t xml:space="preserve">A.</w:t>
      </w:r>
      <w:r>
        <w:t xml:space="preserve"> </w:t>
      </w:r>
      <w:r>
        <w:t xml:space="preserve">Metformina sola</w:t>
      </w:r>
    </w:p>
    <w:p>
      <w:pPr>
        <w:numPr>
          <w:ilvl w:val="0"/>
          <w:numId w:val="1004"/>
        </w:numPr>
        <w:pStyle w:val="Compact"/>
      </w:pPr>
      <w:r>
        <w:rPr>
          <w:bCs/>
          <w:b/>
        </w:rPr>
        <w:t xml:space="preserve">B.</w:t>
      </w:r>
      <w:r>
        <w:t xml:space="preserve"> </w:t>
      </w:r>
      <w:r>
        <w:t xml:space="preserve">Anticonceptivos orales combinados</w:t>
      </w:r>
    </w:p>
    <w:p>
      <w:pPr>
        <w:numPr>
          <w:ilvl w:val="0"/>
          <w:numId w:val="1004"/>
        </w:numPr>
        <w:pStyle w:val="Compact"/>
      </w:pPr>
      <w:r>
        <w:rPr>
          <w:bCs/>
          <w:b/>
        </w:rPr>
        <w:t xml:space="preserve">C.</w:t>
      </w:r>
      <w:r>
        <w:t xml:space="preserve"> </w:t>
      </w:r>
      <w:r>
        <w:t xml:space="preserve">Progesterona natural cíclica</w:t>
      </w:r>
    </w:p>
    <w:p>
      <w:pPr>
        <w:numPr>
          <w:ilvl w:val="0"/>
          <w:numId w:val="1004"/>
        </w:numPr>
        <w:pStyle w:val="Compact"/>
      </w:pPr>
      <w:r>
        <w:rPr>
          <w:bCs/>
          <w:b/>
        </w:rPr>
        <w:t xml:space="preserve">D.</w:t>
      </w:r>
      <w:r>
        <w:t xml:space="preserve"> </w:t>
      </w:r>
      <w:r>
        <w:t xml:space="preserve">Cirugía ovárica (wedge resection)</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Los anticonceptivos orales combinados son primera línea para supresión ovárica, control de hirsutismo, regularización menstrual y protección endometrial en pacientes sin deseo de fertilidad.</w:t>
      </w:r>
    </w:p>
    <w:p>
      <w:pPr>
        <w:pStyle w:val="BodyText"/>
      </w:pPr>
      <w:r>
        <w:rPr>
          <w:bCs/>
          <w:b/>
        </w:rPr>
        <w:t xml:space="preserve">Sesgo que activa:</w:t>
      </w:r>
      <w:r>
        <w:t xml:space="preserve"> </w:t>
      </w:r>
      <w:r>
        <w:t xml:space="preserve">disponibilidad</w:t>
      </w:r>
    </w:p>
    <w:p>
      <w:r>
        <w:pict>
          <v:rect style="width:0;height:1.5pt" o:hralign="center" o:hrstd="t" o:hr="t"/>
        </w:pict>
      </w:r>
    </w:p>
    <w:bookmarkEnd w:id="24"/>
    <w:bookmarkStart w:id="25" w:name="pregunta-5"/>
    <w:p>
      <w:pPr>
        <w:pStyle w:val="Heading3"/>
      </w:pPr>
      <w:r>
        <w:t xml:space="preserve">Pregunta 5</w:t>
      </w:r>
    </w:p>
    <w:p>
      <w:pPr>
        <w:pStyle w:val="FirstParagraph"/>
      </w:pPr>
      <w:r>
        <w:t xml:space="preserve">Mujer de 28 años con SOP, amenorrea de 8 meses. ¿Cuál es el riesgo endometrial si no recibe tratamiento?</w:t>
      </w:r>
    </w:p>
    <w:p>
      <w:pPr>
        <w:numPr>
          <w:ilvl w:val="0"/>
          <w:numId w:val="1005"/>
        </w:numPr>
        <w:pStyle w:val="Compact"/>
      </w:pPr>
      <w:r>
        <w:rPr>
          <w:bCs/>
          <w:b/>
        </w:rPr>
        <w:t xml:space="preserve">A.</w:t>
      </w:r>
      <w:r>
        <w:t xml:space="preserve"> </w:t>
      </w:r>
      <w:r>
        <w:t xml:space="preserve">Cáncer cervical</w:t>
      </w:r>
    </w:p>
    <w:p>
      <w:pPr>
        <w:numPr>
          <w:ilvl w:val="0"/>
          <w:numId w:val="1005"/>
        </w:numPr>
        <w:pStyle w:val="Compact"/>
      </w:pPr>
      <w:r>
        <w:rPr>
          <w:bCs/>
          <w:b/>
        </w:rPr>
        <w:t xml:space="preserve">B.</w:t>
      </w:r>
      <w:r>
        <w:t xml:space="preserve"> </w:t>
      </w:r>
      <w:r>
        <w:t xml:space="preserve">Hiperplasia endometrial y cáncer endometrial</w:t>
      </w:r>
    </w:p>
    <w:p>
      <w:pPr>
        <w:numPr>
          <w:ilvl w:val="0"/>
          <w:numId w:val="1005"/>
        </w:numPr>
        <w:pStyle w:val="Compact"/>
      </w:pPr>
      <w:r>
        <w:rPr>
          <w:bCs/>
          <w:b/>
        </w:rPr>
        <w:t xml:space="preserve">C.</w:t>
      </w:r>
      <w:r>
        <w:t xml:space="preserve"> </w:t>
      </w:r>
      <w:r>
        <w:t xml:space="preserve">Cáncer de ovario</w:t>
      </w:r>
    </w:p>
    <w:p>
      <w:pPr>
        <w:numPr>
          <w:ilvl w:val="0"/>
          <w:numId w:val="1005"/>
        </w:numPr>
        <w:pStyle w:val="Compact"/>
      </w:pPr>
      <w:r>
        <w:rPr>
          <w:bCs/>
          <w:b/>
        </w:rPr>
        <w:t xml:space="preserve">D.</w:t>
      </w:r>
      <w:r>
        <w:t xml:space="preserve"> </w:t>
      </w:r>
      <w:r>
        <w:t xml:space="preserve">Cáncer de mama</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La estimulación estrogénica sin oposición progesterónica en SOP con anovulación crónica puede causar hiperplasia endometrial y ocasionalmente cáncer endometrial. Se recomiendan progestágenos cíclicos.</w:t>
      </w:r>
    </w:p>
    <w:p>
      <w:pPr>
        <w:pStyle w:val="BodyText"/>
      </w:pPr>
      <w:r>
        <w:rPr>
          <w:bCs/>
          <w:b/>
        </w:rPr>
        <w:t xml:space="preserve">Sesgo que activa:</w:t>
      </w:r>
      <w:r>
        <w:t xml:space="preserve"> </w:t>
      </w:r>
      <w:r>
        <w:t xml:space="preserve">prevalencia base</w:t>
      </w:r>
    </w:p>
    <w:p>
      <w:r>
        <w:pict>
          <v:rect style="width:0;height:1.5pt" o:hralign="center" o:hrstd="t" o:hr="t"/>
        </w:pict>
      </w:r>
    </w:p>
    <w:bookmarkEnd w:id="25"/>
    <w:bookmarkStart w:id="26" w:name="pregunta-6"/>
    <w:p>
      <w:pPr>
        <w:pStyle w:val="Heading3"/>
      </w:pPr>
      <w:r>
        <w:t xml:space="preserve">Pregunta 6</w:t>
      </w:r>
    </w:p>
    <w:p>
      <w:pPr>
        <w:pStyle w:val="FirstParagraph"/>
      </w:pPr>
      <w:r>
        <w:t xml:space="preserve">Paciente de 30 años con sospecha de SOP. ¿Cuál hallazgo ecográfico NO es diagnóstico por sí solo?</w:t>
      </w:r>
    </w:p>
    <w:p>
      <w:pPr>
        <w:numPr>
          <w:ilvl w:val="0"/>
          <w:numId w:val="1006"/>
        </w:numPr>
        <w:pStyle w:val="Compact"/>
      </w:pPr>
      <w:r>
        <w:rPr>
          <w:bCs/>
          <w:b/>
        </w:rPr>
        <w:t xml:space="preserve">A.</w:t>
      </w:r>
      <w:r>
        <w:t xml:space="preserve"> </w:t>
      </w:r>
      <w:r>
        <w:t xml:space="preserve">Ovarios poliquísticos (</w:t>
      </w:r>
      <w:r>
        <w:t xml:space="preserve">‘</w:t>
      </w:r>
      <w:r>
        <w:t xml:space="preserve">collar de perlas</w:t>
      </w:r>
      <w:r>
        <w:t xml:space="preserve">’</w:t>
      </w:r>
      <w:r>
        <w:t xml:space="preserve">)</w:t>
      </w:r>
    </w:p>
    <w:p>
      <w:pPr>
        <w:numPr>
          <w:ilvl w:val="0"/>
          <w:numId w:val="1006"/>
        </w:numPr>
        <w:pStyle w:val="Compact"/>
      </w:pPr>
      <w:r>
        <w:rPr>
          <w:bCs/>
          <w:b/>
        </w:rPr>
        <w:t xml:space="preserve">B.</w:t>
      </w:r>
      <w:r>
        <w:t xml:space="preserve"> </w:t>
      </w:r>
      <w:r>
        <w:t xml:space="preserve">Volumen ovárico &gt;10 cm³</w:t>
      </w:r>
    </w:p>
    <w:p>
      <w:pPr>
        <w:numPr>
          <w:ilvl w:val="0"/>
          <w:numId w:val="1006"/>
        </w:numPr>
        <w:pStyle w:val="Compact"/>
      </w:pPr>
      <w:r>
        <w:rPr>
          <w:bCs/>
          <w:b/>
        </w:rPr>
        <w:t xml:space="preserve">C.</w:t>
      </w:r>
      <w:r>
        <w:t xml:space="preserve"> </w:t>
      </w:r>
      <w:r>
        <w:t xml:space="preserve">Más de 12 folículos antrales de 2-9 mm</w:t>
      </w:r>
    </w:p>
    <w:p>
      <w:pPr>
        <w:numPr>
          <w:ilvl w:val="0"/>
          <w:numId w:val="1006"/>
        </w:numPr>
        <w:pStyle w:val="Compact"/>
      </w:pPr>
      <w:r>
        <w:rPr>
          <w:bCs/>
          <w:b/>
        </w:rPr>
        <w:t xml:space="preserve">D.</w:t>
      </w:r>
      <w:r>
        <w:t xml:space="preserve"> </w:t>
      </w:r>
      <w:r>
        <w:t xml:space="preserve">Endometrio de 4 mm en fase lútea</w:t>
      </w:r>
    </w:p>
    <w:p>
      <w:pPr>
        <w:pStyle w:val="FirstParagraph"/>
      </w:pPr>
      <w:r>
        <w:rPr>
          <w:bCs/>
          <w:b/>
        </w:rPr>
        <w:t xml:space="preserve">Respuesta correcta:</w:t>
      </w:r>
      <w:r>
        <w:t xml:space="preserve"> </w:t>
      </w:r>
      <w:r>
        <w:t xml:space="preserve">A</w:t>
      </w:r>
    </w:p>
    <w:p>
      <w:pPr>
        <w:pStyle w:val="BodyText"/>
      </w:pPr>
      <w:r>
        <w:rPr>
          <w:bCs/>
          <w:b/>
        </w:rPr>
        <w:t xml:space="preserve">Explicación:</w:t>
      </w:r>
      <w:r>
        <w:t xml:space="preserve"> </w:t>
      </w:r>
      <w:r>
        <w:t xml:space="preserve">Aproximadamente 20% de mujeres hormonalmente normales puede presentar ovarios con apariencia poliquística. Este hallazgo aislado no es diagnóstico de SOP según la GPC y criterios de Rotterdam/AE-PCOS.</w:t>
      </w:r>
    </w:p>
    <w:p>
      <w:pPr>
        <w:pStyle w:val="BodyText"/>
      </w:pPr>
      <w:r>
        <w:rPr>
          <w:bCs/>
          <w:b/>
        </w:rPr>
        <w:t xml:space="preserve">Sesgo que activa:</w:t>
      </w:r>
      <w:r>
        <w:t xml:space="preserve"> </w:t>
      </w:r>
      <w:r>
        <w:t xml:space="preserve">cierre prematuro</w:t>
      </w:r>
    </w:p>
    <w:p>
      <w:r>
        <w:pict>
          <v:rect style="width:0;height:1.5pt" o:hralign="center" o:hrstd="t" o:hr="t"/>
        </w:pict>
      </w:r>
    </w:p>
    <w:bookmarkEnd w:id="26"/>
    <w:bookmarkStart w:id="27" w:name="pregunta-7"/>
    <w:p>
      <w:pPr>
        <w:pStyle w:val="Heading3"/>
      </w:pPr>
      <w:r>
        <w:t xml:space="preserve">Pregunta 7</w:t>
      </w:r>
    </w:p>
    <w:p>
      <w:pPr>
        <w:pStyle w:val="FirstParagraph"/>
      </w:pPr>
      <w:r>
        <w:t xml:space="preserve">Mujer de 27 años con SOP, hirsutismo severo. ¿Cuál fármaco se usa como bloqueo androgénico?</w:t>
      </w:r>
    </w:p>
    <w:p>
      <w:pPr>
        <w:numPr>
          <w:ilvl w:val="0"/>
          <w:numId w:val="1007"/>
        </w:numPr>
        <w:pStyle w:val="Compact"/>
      </w:pPr>
      <w:r>
        <w:rPr>
          <w:bCs/>
          <w:b/>
        </w:rPr>
        <w:t xml:space="preserve">A.</w:t>
      </w:r>
      <w:r>
        <w:t xml:space="preserve"> </w:t>
      </w:r>
      <w:r>
        <w:t xml:space="preserve">Clomifeno</w:t>
      </w:r>
    </w:p>
    <w:p>
      <w:pPr>
        <w:numPr>
          <w:ilvl w:val="0"/>
          <w:numId w:val="1007"/>
        </w:numPr>
        <w:pStyle w:val="Compact"/>
      </w:pPr>
      <w:r>
        <w:rPr>
          <w:bCs/>
          <w:b/>
        </w:rPr>
        <w:t xml:space="preserve">B.</w:t>
      </w:r>
      <w:r>
        <w:t xml:space="preserve"> </w:t>
      </w:r>
      <w:r>
        <w:t xml:space="preserve">Espironolactona</w:t>
      </w:r>
    </w:p>
    <w:p>
      <w:pPr>
        <w:numPr>
          <w:ilvl w:val="0"/>
          <w:numId w:val="1007"/>
        </w:numPr>
        <w:pStyle w:val="Compact"/>
      </w:pPr>
      <w:r>
        <w:rPr>
          <w:bCs/>
          <w:b/>
        </w:rPr>
        <w:t xml:space="preserve">C.</w:t>
      </w:r>
      <w:r>
        <w:t xml:space="preserve"> </w:t>
      </w:r>
      <w:r>
        <w:t xml:space="preserve">Levotiroxina</w:t>
      </w:r>
    </w:p>
    <w:p>
      <w:pPr>
        <w:numPr>
          <w:ilvl w:val="0"/>
          <w:numId w:val="1007"/>
        </w:numPr>
        <w:pStyle w:val="Compact"/>
      </w:pPr>
      <w:r>
        <w:rPr>
          <w:bCs/>
          <w:b/>
        </w:rPr>
        <w:t xml:space="preserve">D.</w:t>
      </w:r>
      <w:r>
        <w:t xml:space="preserve"> </w:t>
      </w:r>
      <w:r>
        <w:t xml:space="preserve">Bromocriptina</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La espironolactona es un antagonista de aldosterona con efecto antiandrogénico utilizado en el tratamiento del hirsutismo en SOP. Otras opciones: flutamida, acetato de ciproterona, finasterida.</w:t>
      </w:r>
    </w:p>
    <w:p>
      <w:pPr>
        <w:pStyle w:val="BodyText"/>
      </w:pPr>
      <w:r>
        <w:rPr>
          <w:bCs/>
          <w:b/>
        </w:rPr>
        <w:t xml:space="preserve">Sesgo que activa:</w:t>
      </w:r>
      <w:r>
        <w:t xml:space="preserve"> </w:t>
      </w:r>
      <w:r>
        <w:t xml:space="preserve">disponibilidad</w:t>
      </w:r>
    </w:p>
    <w:p>
      <w:r>
        <w:pict>
          <v:rect style="width:0;height:1.5pt" o:hralign="center" o:hrstd="t" o:hr="t"/>
        </w:pict>
      </w:r>
    </w:p>
    <w:bookmarkEnd w:id="27"/>
    <w:bookmarkStart w:id="28" w:name="pregunta-8"/>
    <w:p>
      <w:pPr>
        <w:pStyle w:val="Heading3"/>
      </w:pPr>
      <w:r>
        <w:t xml:space="preserve">Pregunta 8</w:t>
      </w:r>
    </w:p>
    <w:p>
      <w:pPr>
        <w:pStyle w:val="FirstParagraph"/>
      </w:pPr>
      <w:r>
        <w:t xml:space="preserve">Paciente de 31 años con SOP, IMC 28, acantosis nigricans en cuello. ¿Cuál hallazgo metabólico subyacente explica estas manifestaciones?</w:t>
      </w:r>
    </w:p>
    <w:p>
      <w:pPr>
        <w:numPr>
          <w:ilvl w:val="0"/>
          <w:numId w:val="1008"/>
        </w:numPr>
        <w:pStyle w:val="Compact"/>
      </w:pPr>
      <w:r>
        <w:rPr>
          <w:bCs/>
          <w:b/>
        </w:rPr>
        <w:t xml:space="preserve">A.</w:t>
      </w:r>
      <w:r>
        <w:t xml:space="preserve"> </w:t>
      </w:r>
      <w:r>
        <w:t xml:space="preserve">Hiperandrogenismo aislado</w:t>
      </w:r>
    </w:p>
    <w:p>
      <w:pPr>
        <w:numPr>
          <w:ilvl w:val="0"/>
          <w:numId w:val="1008"/>
        </w:numPr>
        <w:pStyle w:val="Compact"/>
      </w:pPr>
      <w:r>
        <w:rPr>
          <w:bCs/>
          <w:b/>
        </w:rPr>
        <w:t xml:space="preserve">B.</w:t>
      </w:r>
      <w:r>
        <w:t xml:space="preserve"> </w:t>
      </w:r>
      <w:r>
        <w:t xml:space="preserve">Resistencia a la insulina e hiperinsulinemia</w:t>
      </w:r>
    </w:p>
    <w:p>
      <w:pPr>
        <w:numPr>
          <w:ilvl w:val="0"/>
          <w:numId w:val="1008"/>
        </w:numPr>
        <w:pStyle w:val="Compact"/>
      </w:pPr>
      <w:r>
        <w:rPr>
          <w:bCs/>
          <w:b/>
        </w:rPr>
        <w:t xml:space="preserve">C.</w:t>
      </w:r>
      <w:r>
        <w:t xml:space="preserve"> </w:t>
      </w:r>
      <w:r>
        <w:t xml:space="preserve">Hiperprolactinemia</w:t>
      </w:r>
    </w:p>
    <w:p>
      <w:pPr>
        <w:numPr>
          <w:ilvl w:val="0"/>
          <w:numId w:val="1008"/>
        </w:numPr>
        <w:pStyle w:val="Compact"/>
      </w:pPr>
      <w:r>
        <w:rPr>
          <w:bCs/>
          <w:b/>
        </w:rPr>
        <w:t xml:space="preserve">D.</w:t>
      </w:r>
      <w:r>
        <w:t xml:space="preserve"> </w:t>
      </w:r>
      <w:r>
        <w:t xml:space="preserve">Hipotiroidismo primario</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La acantosis nigricans es marcador cutáneo de resistencia a la insulina e hiperinsulinemia. En SOP, la resistencia a la insulina suprime SHBG hepática, aumentando testosterona libre y exacerbando el hiperandrogenismo.</w:t>
      </w:r>
    </w:p>
    <w:p>
      <w:pPr>
        <w:pStyle w:val="BodyText"/>
      </w:pPr>
      <w:r>
        <w:rPr>
          <w:bCs/>
          <w:b/>
        </w:rPr>
        <w:t xml:space="preserve">Sesgo que activa:</w:t>
      </w:r>
      <w:r>
        <w:t xml:space="preserve"> </w:t>
      </w:r>
      <w:r>
        <w:t xml:space="preserve">prevalencia base</w:t>
      </w:r>
    </w:p>
    <w:p>
      <w:r>
        <w:pict>
          <v:rect style="width:0;height:1.5pt" o:hralign="center" o:hrstd="t" o:hr="t"/>
        </w:pict>
      </w:r>
    </w:p>
    <w:bookmarkEnd w:id="28"/>
    <w:bookmarkStart w:id="29" w:name="pregunta-9"/>
    <w:p>
      <w:pPr>
        <w:pStyle w:val="Heading3"/>
      </w:pPr>
      <w:r>
        <w:t xml:space="preserve">Pregunta 9</w:t>
      </w:r>
    </w:p>
    <w:p>
      <w:pPr>
        <w:pStyle w:val="FirstParagraph"/>
      </w:pPr>
      <w:r>
        <w:t xml:space="preserve">Mujer de 25 años con criterios de Rotterdam para SOP. ¿Cuál condición debe excluirse antes de confirmar el diagnóstico?</w:t>
      </w:r>
    </w:p>
    <w:p>
      <w:pPr>
        <w:numPr>
          <w:ilvl w:val="0"/>
          <w:numId w:val="1009"/>
        </w:numPr>
        <w:pStyle w:val="Compact"/>
      </w:pPr>
      <w:r>
        <w:rPr>
          <w:bCs/>
          <w:b/>
        </w:rPr>
        <w:t xml:space="preserve">A.</w:t>
      </w:r>
      <w:r>
        <w:t xml:space="preserve"> </w:t>
      </w:r>
      <w:r>
        <w:t xml:space="preserve">Embarazo</w:t>
      </w:r>
    </w:p>
    <w:p>
      <w:pPr>
        <w:numPr>
          <w:ilvl w:val="0"/>
          <w:numId w:val="1009"/>
        </w:numPr>
        <w:pStyle w:val="Compact"/>
      </w:pPr>
      <w:r>
        <w:rPr>
          <w:bCs/>
          <w:b/>
        </w:rPr>
        <w:t xml:space="preserve">B.</w:t>
      </w:r>
      <w:r>
        <w:t xml:space="preserve"> </w:t>
      </w:r>
      <w:r>
        <w:t xml:space="preserve">Hipertiroidismo</w:t>
      </w:r>
    </w:p>
    <w:p>
      <w:pPr>
        <w:numPr>
          <w:ilvl w:val="0"/>
          <w:numId w:val="1009"/>
        </w:numPr>
        <w:pStyle w:val="Compact"/>
      </w:pPr>
      <w:r>
        <w:rPr>
          <w:bCs/>
          <w:b/>
        </w:rPr>
        <w:t xml:space="preserve">C.</w:t>
      </w:r>
      <w:r>
        <w:t xml:space="preserve"> </w:t>
      </w:r>
      <w:r>
        <w:t xml:space="preserve">Hiperplasia suprarrenal congénita por déficit de 21-hidroxilasa</w:t>
      </w:r>
    </w:p>
    <w:p>
      <w:pPr>
        <w:numPr>
          <w:ilvl w:val="0"/>
          <w:numId w:val="1009"/>
        </w:numPr>
        <w:pStyle w:val="Compact"/>
      </w:pPr>
      <w:r>
        <w:rPr>
          <w:bCs/>
          <w:b/>
        </w:rPr>
        <w:t xml:space="preserve">D.</w:t>
      </w:r>
      <w:r>
        <w:t xml:space="preserve"> </w:t>
      </w:r>
      <w:r>
        <w:t xml:space="preserve">Todas las anteriores</w:t>
      </w:r>
    </w:p>
    <w:p>
      <w:pPr>
        <w:pStyle w:val="FirstParagraph"/>
      </w:pPr>
      <w:r>
        <w:rPr>
          <w:bCs/>
          <w:b/>
        </w:rPr>
        <w:t xml:space="preserve">Respuesta correcta:</w:t>
      </w:r>
      <w:r>
        <w:t xml:space="preserve"> </w:t>
      </w:r>
      <w:r>
        <w:t xml:space="preserve">D</w:t>
      </w:r>
    </w:p>
    <w:p>
      <w:pPr>
        <w:pStyle w:val="BodyText"/>
      </w:pPr>
      <w:r>
        <w:rPr>
          <w:bCs/>
          <w:b/>
        </w:rPr>
        <w:t xml:space="preserve">Explicación:</w:t>
      </w:r>
      <w:r>
        <w:t xml:space="preserve"> </w:t>
      </w:r>
      <w:r>
        <w:t xml:space="preserve">El SOP es diagnóstico de exclusión. Debe descartarse embarazo, tiroidopatías, hiperprolactinemia, hiperplasia suprarrenal congénita, síndrome de Cushing, tumor androgeno-secretor y otros trastornos antes de confirmar SOP.</w:t>
      </w:r>
    </w:p>
    <w:p>
      <w:pPr>
        <w:pStyle w:val="BodyText"/>
      </w:pPr>
      <w:r>
        <w:rPr>
          <w:bCs/>
          <w:b/>
        </w:rPr>
        <w:t xml:space="preserve">Sesgo que activa:</w:t>
      </w:r>
      <w:r>
        <w:t xml:space="preserve"> </w:t>
      </w:r>
      <w:r>
        <w:t xml:space="preserve">sobreconfianza</w:t>
      </w:r>
    </w:p>
    <w:p>
      <w:r>
        <w:pict>
          <v:rect style="width:0;height:1.5pt" o:hralign="center" o:hrstd="t" o:hr="t"/>
        </w:pict>
      </w:r>
    </w:p>
    <w:bookmarkEnd w:id="29"/>
    <w:bookmarkStart w:id="30" w:name="pregunta-10"/>
    <w:p>
      <w:pPr>
        <w:pStyle w:val="Heading3"/>
      </w:pPr>
      <w:r>
        <w:t xml:space="preserve">Pregunta 10</w:t>
      </w:r>
    </w:p>
    <w:p>
      <w:pPr>
        <w:pStyle w:val="FirstParagraph"/>
      </w:pPr>
      <w:r>
        <w:t xml:space="preserve">Paciente de 33 años con SOP, desea embarazo, falló clomifeno por 6 ciclos. ¿Cuál es el siguiente paso según la GPC?</w:t>
      </w:r>
    </w:p>
    <w:p>
      <w:pPr>
        <w:numPr>
          <w:ilvl w:val="0"/>
          <w:numId w:val="1010"/>
        </w:numPr>
        <w:pStyle w:val="Compact"/>
      </w:pPr>
      <w:r>
        <w:rPr>
          <w:bCs/>
          <w:b/>
        </w:rPr>
        <w:t xml:space="preserve">A.</w:t>
      </w:r>
      <w:r>
        <w:t xml:space="preserve"> </w:t>
      </w:r>
      <w:r>
        <w:t xml:space="preserve">Histerectomía con conservación de ovarios</w:t>
      </w:r>
    </w:p>
    <w:p>
      <w:pPr>
        <w:numPr>
          <w:ilvl w:val="0"/>
          <w:numId w:val="1010"/>
        </w:numPr>
        <w:pStyle w:val="Compact"/>
      </w:pPr>
      <w:r>
        <w:rPr>
          <w:bCs/>
          <w:b/>
        </w:rPr>
        <w:t xml:space="preserve">B.</w:t>
      </w:r>
      <w:r>
        <w:t xml:space="preserve"> </w:t>
      </w:r>
      <w:r>
        <w:t xml:space="preserve">FSH recombinante para inducción de ovulación</w:t>
      </w:r>
    </w:p>
    <w:p>
      <w:pPr>
        <w:numPr>
          <w:ilvl w:val="0"/>
          <w:numId w:val="1010"/>
        </w:numPr>
        <w:pStyle w:val="Compact"/>
      </w:pPr>
      <w:r>
        <w:rPr>
          <w:bCs/>
          <w:b/>
        </w:rPr>
        <w:t xml:space="preserve">C.</w:t>
      </w:r>
      <w:r>
        <w:t xml:space="preserve"> </w:t>
      </w:r>
      <w:r>
        <w:t xml:space="preserve">GnRH agonistas por 12 meses</w:t>
      </w:r>
    </w:p>
    <w:p>
      <w:pPr>
        <w:numPr>
          <w:ilvl w:val="0"/>
          <w:numId w:val="1010"/>
        </w:numPr>
        <w:pStyle w:val="Compact"/>
      </w:pPr>
      <w:r>
        <w:rPr>
          <w:bCs/>
          <w:b/>
        </w:rPr>
        <w:t xml:space="preserve">D.</w:t>
      </w:r>
      <w:r>
        <w:t xml:space="preserve"> </w:t>
      </w:r>
      <w:r>
        <w:t xml:space="preserve">Cirugía de reducción ovárica (wedge)</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La GPC recomienda FSH recombinante como siguiente paso tras fallo a clomifeno/tamoxifeno en infertilidad por SOP. La cirugía de reducción ovárica ya no es primera opción por riesgo de adherencias.</w:t>
      </w:r>
    </w:p>
    <w:p>
      <w:pPr>
        <w:pStyle w:val="BodyText"/>
      </w:pPr>
      <w:r>
        <w:rPr>
          <w:bCs/>
          <w:b/>
        </w:rPr>
        <w:t xml:space="preserve">Sesgo que activa:</w:t>
      </w:r>
      <w:r>
        <w:t xml:space="preserve"> </w:t>
      </w:r>
      <w:r>
        <w:t xml:space="preserve">anclaje</w:t>
      </w:r>
    </w:p>
    <w:p>
      <w:r>
        <w:pict>
          <v:rect style="width:0;height:1.5pt" o:hralign="center" o:hrstd="t" o:hr="t"/>
        </w:pict>
      </w:r>
    </w:p>
    <w:bookmarkEnd w:id="30"/>
    <w:bookmarkEnd w:id="31"/>
    <w:bookmarkStart w:id="43" w:name="tema-miomatosis-uterina"/>
    <w:p>
      <w:pPr>
        <w:pStyle w:val="Heading2"/>
      </w:pPr>
      <w:r>
        <w:t xml:space="preserve">Tema: Miomatosis Uterina</w:t>
      </w:r>
    </w:p>
    <w:bookmarkStart w:id="32" w:name="illness-script-1"/>
    <w:p>
      <w:pPr>
        <w:pStyle w:val="Heading3"/>
      </w:pPr>
      <w:r>
        <w:t xml:space="preserve">Illness Script</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Aspecto</w:t>
            </w:r>
          </w:p>
        </w:tc>
        <w:tc>
          <w:tcPr/>
          <w:p>
            <w:pPr>
              <w:pStyle w:val="Compact"/>
              <w:jc w:val="left"/>
            </w:pPr>
            <w:r>
              <w:t xml:space="preserve">Descripción</w:t>
            </w:r>
          </w:p>
        </w:tc>
      </w:tr>
      <w:tr>
        <w:tc>
          <w:tcPr/>
          <w:p>
            <w:pPr>
              <w:pStyle w:val="Compact"/>
              <w:jc w:val="left"/>
            </w:pPr>
            <w:r>
              <w:rPr>
                <w:bCs/>
                <w:b/>
              </w:rPr>
              <w:t xml:space="preserve">Epidemiología</w:t>
            </w:r>
          </w:p>
        </w:tc>
        <w:tc>
          <w:tcPr/>
          <w:p>
            <w:pPr>
              <w:pStyle w:val="Compact"/>
              <w:jc w:val="left"/>
            </w:pPr>
            <w:r>
              <w:t xml:space="preserve">Mujeres 20-70 años, pico 35-45 años. Dependientes de estrógenos (crecen en embarazo, regresan posmenopausia). Malignización &lt;1%. Factores de riesgo: nuliparidad, obesidad, menarca temprana, menopausia tardía.</w:t>
            </w:r>
          </w:p>
        </w:tc>
      </w:tr>
      <w:tr>
        <w:tc>
          <w:tcPr/>
          <w:p>
            <w:pPr>
              <w:pStyle w:val="Compact"/>
              <w:jc w:val="left"/>
            </w:pPr>
            <w:r>
              <w:rPr>
                <w:bCs/>
                <w:b/>
              </w:rPr>
              <w:t xml:space="preserve">Curso temporal</w:t>
            </w:r>
          </w:p>
        </w:tc>
        <w:tc>
          <w:tcPr/>
          <w:p>
            <w:pPr>
              <w:pStyle w:val="Compact"/>
              <w:jc w:val="left"/>
            </w:pPr>
            <w:r>
              <w:t xml:space="preserve">Crecimiento lento durante años. Aceleración en embarazo. Regresión posmenopáusica. Degeneración quística/hialina si crecimiento excede vascularización. Degeneración roja/carnosa en embarazo.</w:t>
            </w:r>
          </w:p>
        </w:tc>
      </w:tr>
      <w:tr>
        <w:tc>
          <w:tcPr/>
          <w:p>
            <w:pPr>
              <w:pStyle w:val="Compact"/>
              <w:jc w:val="left"/>
            </w:pPr>
            <w:r>
              <w:rPr>
                <w:bCs/>
                <w:b/>
              </w:rPr>
              <w:t xml:space="preserve">Fisiopatología</w:t>
            </w:r>
          </w:p>
        </w:tc>
        <w:tc>
          <w:tcPr/>
          <w:p>
            <w:pPr>
              <w:pStyle w:val="Compact"/>
              <w:jc w:val="left"/>
            </w:pPr>
            <w:r>
              <w:t xml:space="preserve">Tumores benignos de músculo liso. Pseudocápsula con escasos vasos → degeneraciones por isquemia: hialina (más frecuente), quística, calcificación, grasa, carnosa dolorosa (embarazo), roja (infarto agudo en gestación).</w:t>
            </w:r>
          </w:p>
        </w:tc>
      </w:tr>
      <w:tr>
        <w:tc>
          <w:tcPr/>
          <w:p>
            <w:pPr>
              <w:pStyle w:val="Compact"/>
              <w:jc w:val="left"/>
            </w:pPr>
            <w:r>
              <w:rPr>
                <w:bCs/>
                <w:b/>
              </w:rPr>
              <w:t xml:space="preserve">Presentación clínica</w:t>
            </w:r>
          </w:p>
        </w:tc>
        <w:tc>
          <w:tcPr/>
          <w:p>
            <w:pPr>
              <w:pStyle w:val="Compact"/>
              <w:jc w:val="left"/>
            </w:pPr>
            <w:r>
              <w:t xml:space="preserve">50% asintomáticos. Hipermenorrea (21%), dismenorrea (33%), presión pélvica, distensión abdominal, frecuencia urinaria, infertilidad. Masa abdominal palpable en línea media que se desplaza con cérvix.</w:t>
            </w:r>
          </w:p>
        </w:tc>
      </w:tr>
      <w:tr>
        <w:tc>
          <w:tcPr/>
          <w:p>
            <w:pPr>
              <w:pStyle w:val="Compact"/>
              <w:jc w:val="left"/>
            </w:pPr>
            <w:r>
              <w:rPr>
                <w:bCs/>
                <w:b/>
              </w:rPr>
              <w:t xml:space="preserve">Diagnóstico</w:t>
            </w:r>
          </w:p>
        </w:tc>
        <w:tc>
          <w:tcPr/>
          <w:p>
            <w:pPr>
              <w:pStyle w:val="Compact"/>
              <w:jc w:val="left"/>
            </w:pPr>
            <w:r>
              <w:t xml:space="preserve">Tacto bimanual rectovaginal: sensibilidad elevada para miomas &gt;5 cm. USG abdominal/transvaginal (sensibilidad 85% para &gt;3 cm). Histeroscopia si síntomas persistentes. Biopsia endometrial si &gt;35 años.</w:t>
            </w:r>
          </w:p>
        </w:tc>
      </w:tr>
      <w:tr>
        <w:tc>
          <w:tcPr/>
          <w:p>
            <w:pPr>
              <w:pStyle w:val="Compact"/>
              <w:jc w:val="left"/>
            </w:pPr>
            <w:r>
              <w:rPr>
                <w:bCs/>
                <w:b/>
              </w:rPr>
              <w:t xml:space="preserve">Tratamiento</w:t>
            </w:r>
          </w:p>
        </w:tc>
        <w:tc>
          <w:tcPr/>
          <w:p>
            <w:pPr>
              <w:pStyle w:val="Compact"/>
              <w:jc w:val="left"/>
            </w:pPr>
            <w:r>
              <w:t xml:space="preserve">Asintomáticos: vigilancia USG cada 6-12 meses. Médico: AINE, DIU-LNG, goserelina (&lt;6 meses prequirúrgico). Quirúrgico: miomectomía (preserva útero), embolización arteria uterina, histerectomía (definitivo si paridad satisfecha).</w:t>
            </w:r>
          </w:p>
        </w:tc>
      </w:tr>
      <w:tr>
        <w:tc>
          <w:tcPr/>
          <w:p>
            <w:pPr>
              <w:pStyle w:val="Compact"/>
              <w:jc w:val="left"/>
            </w:pPr>
            <w:r>
              <w:rPr>
                <w:bCs/>
                <w:b/>
              </w:rPr>
              <w:t xml:space="preserve">Diagnósticos diferenciales</w:t>
            </w:r>
          </w:p>
        </w:tc>
        <w:tc>
          <w:tcPr/>
          <w:p>
            <w:pPr>
              <w:pStyle w:val="Compact"/>
              <w:jc w:val="left"/>
            </w:pPr>
            <w:r>
              <w:t xml:space="preserve">Adenomiosis, poliposis endometrial, hiperplasia endometrial, neoplasias ováricas, embarazo, otras tumoraciones abdominopélvicas, cáncer endometrial.</w:t>
            </w:r>
          </w:p>
        </w:tc>
      </w:tr>
    </w:tbl>
    <w:p>
      <w:pPr>
        <w:pStyle w:val="BodyText"/>
      </w:pPr>
      <w:r>
        <w:rPr>
          <w:bCs/>
          <w:b/>
        </w:rPr>
        <w:t xml:space="preserve">ANTES de ver la respuesta, explica en voz alta por qué elegiste esa opción.</w:t>
      </w:r>
    </w:p>
    <w:p>
      <w:r>
        <w:pict>
          <v:rect style="width:0;height:1.5pt" o:hralign="center" o:hrstd="t" o:hr="t"/>
        </w:pict>
      </w:r>
    </w:p>
    <w:bookmarkEnd w:id="32"/>
    <w:bookmarkStart w:id="33" w:name="pregunta-1-1"/>
    <w:p>
      <w:pPr>
        <w:pStyle w:val="Heading3"/>
      </w:pPr>
      <w:r>
        <w:t xml:space="preserve">Pregunta 1</w:t>
      </w:r>
    </w:p>
    <w:p>
      <w:pPr>
        <w:pStyle w:val="FirstParagraph"/>
      </w:pPr>
      <w:r>
        <w:t xml:space="preserve">Mujer de 42 años, G1P1, con metrorragias abundantes de 2 años, dismenorrea progresiva y masa abdominal que se desplaza con la movilización cervical. Útero aumentado de tamaño, irregular, bordes redondeados.</w:t>
      </w:r>
    </w:p>
    <w:p>
      <w:pPr>
        <w:numPr>
          <w:ilvl w:val="0"/>
          <w:numId w:val="1011"/>
        </w:numPr>
        <w:pStyle w:val="Compact"/>
      </w:pPr>
      <w:r>
        <w:rPr>
          <w:bCs/>
          <w:b/>
        </w:rPr>
        <w:t xml:space="preserve">A.</w:t>
      </w:r>
      <w:r>
        <w:t xml:space="preserve"> </w:t>
      </w:r>
      <w:r>
        <w:t xml:space="preserve">Adenomiosis difusa</w:t>
      </w:r>
    </w:p>
    <w:p>
      <w:pPr>
        <w:numPr>
          <w:ilvl w:val="0"/>
          <w:numId w:val="1011"/>
        </w:numPr>
        <w:pStyle w:val="Compact"/>
      </w:pPr>
      <w:r>
        <w:rPr>
          <w:bCs/>
          <w:b/>
        </w:rPr>
        <w:t xml:space="preserve">B.</w:t>
      </w:r>
      <w:r>
        <w:t xml:space="preserve"> </w:t>
      </w:r>
      <w:r>
        <w:t xml:space="preserve">Miomatosis uterina</w:t>
      </w:r>
    </w:p>
    <w:p>
      <w:pPr>
        <w:numPr>
          <w:ilvl w:val="0"/>
          <w:numId w:val="1011"/>
        </w:numPr>
        <w:pStyle w:val="Compact"/>
      </w:pPr>
      <w:r>
        <w:rPr>
          <w:bCs/>
          <w:b/>
        </w:rPr>
        <w:t xml:space="preserve">C.</w:t>
      </w:r>
      <w:r>
        <w:t xml:space="preserve"> </w:t>
      </w:r>
      <w:r>
        <w:t xml:space="preserve">Cáncer endometrial</w:t>
      </w:r>
    </w:p>
    <w:p>
      <w:pPr>
        <w:numPr>
          <w:ilvl w:val="0"/>
          <w:numId w:val="1011"/>
        </w:numPr>
        <w:pStyle w:val="Compact"/>
      </w:pPr>
      <w:r>
        <w:rPr>
          <w:bCs/>
          <w:b/>
        </w:rPr>
        <w:t xml:space="preserve">D.</w:t>
      </w:r>
      <w:r>
        <w:t xml:space="preserve"> </w:t>
      </w:r>
      <w:r>
        <w:t xml:space="preserve">Endometriosis profunda</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Metrorragias + dismenorrea + masa abdominal en línea media que se desplaza con cérvix + útero irregular con bordes redondeados es clásico de miomatosis uterina. La movilidad con cérvix diferencia de masa anexial.</w:t>
      </w:r>
    </w:p>
    <w:p>
      <w:pPr>
        <w:pStyle w:val="BodyText"/>
      </w:pPr>
      <w:r>
        <w:rPr>
          <w:bCs/>
          <w:b/>
        </w:rPr>
        <w:t xml:space="preserve">Sesgo que activa:</w:t>
      </w:r>
      <w:r>
        <w:t xml:space="preserve"> </w:t>
      </w:r>
      <w:r>
        <w:t xml:space="preserve">prevalencia base</w:t>
      </w:r>
    </w:p>
    <w:p>
      <w:r>
        <w:pict>
          <v:rect style="width:0;height:1.5pt" o:hralign="center" o:hrstd="t" o:hr="t"/>
        </w:pict>
      </w:r>
    </w:p>
    <w:bookmarkEnd w:id="33"/>
    <w:bookmarkStart w:id="34" w:name="pregunta-2-1"/>
    <w:p>
      <w:pPr>
        <w:pStyle w:val="Heading3"/>
      </w:pPr>
      <w:r>
        <w:t xml:space="preserve">Pregunta 2</w:t>
      </w:r>
    </w:p>
    <w:p>
      <w:pPr>
        <w:pStyle w:val="FirstParagraph"/>
      </w:pPr>
      <w:r>
        <w:t xml:space="preserve">Paciente de 38 años con miomatosis uterina sintomática, paridad satisfecha, no desea más hijos. ¿Cuál es el tratamiento definitivo?</w:t>
      </w:r>
    </w:p>
    <w:p>
      <w:pPr>
        <w:numPr>
          <w:ilvl w:val="0"/>
          <w:numId w:val="1012"/>
        </w:numPr>
        <w:pStyle w:val="Compact"/>
      </w:pPr>
      <w:r>
        <w:rPr>
          <w:bCs/>
          <w:b/>
        </w:rPr>
        <w:t xml:space="preserve">A.</w:t>
      </w:r>
      <w:r>
        <w:t xml:space="preserve"> </w:t>
      </w:r>
      <w:r>
        <w:t xml:space="preserve">Miomectomía laparoscópica</w:t>
      </w:r>
    </w:p>
    <w:p>
      <w:pPr>
        <w:numPr>
          <w:ilvl w:val="0"/>
          <w:numId w:val="1012"/>
        </w:numPr>
        <w:pStyle w:val="Compact"/>
      </w:pPr>
      <w:r>
        <w:rPr>
          <w:bCs/>
          <w:b/>
        </w:rPr>
        <w:t xml:space="preserve">B.</w:t>
      </w:r>
      <w:r>
        <w:t xml:space="preserve"> </w:t>
      </w:r>
      <w:r>
        <w:t xml:space="preserve">Histerectomía</w:t>
      </w:r>
    </w:p>
    <w:p>
      <w:pPr>
        <w:numPr>
          <w:ilvl w:val="0"/>
          <w:numId w:val="1012"/>
        </w:numPr>
        <w:pStyle w:val="Compact"/>
      </w:pPr>
      <w:r>
        <w:rPr>
          <w:bCs/>
          <w:b/>
        </w:rPr>
        <w:t xml:space="preserve">C.</w:t>
      </w:r>
      <w:r>
        <w:t xml:space="preserve"> </w:t>
      </w:r>
      <w:r>
        <w:t xml:space="preserve">Embolización de arteria uterina</w:t>
      </w:r>
    </w:p>
    <w:p>
      <w:pPr>
        <w:numPr>
          <w:ilvl w:val="0"/>
          <w:numId w:val="1012"/>
        </w:numPr>
        <w:pStyle w:val="Compact"/>
      </w:pPr>
      <w:r>
        <w:rPr>
          <w:bCs/>
          <w:b/>
        </w:rPr>
        <w:t xml:space="preserve">D.</w:t>
      </w:r>
      <w:r>
        <w:t xml:space="preserve"> </w:t>
      </w:r>
      <w:r>
        <w:t xml:space="preserve">Goserelina de por vida</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La histerectomía es el tratamiento definitivo de la miomatosis uterina sintomática en pacientes con paridad satisfecha. Miomectomía y embolización preservan útero para pacientes con deseo de fertilidad futura.</w:t>
      </w:r>
    </w:p>
    <w:p>
      <w:pPr>
        <w:pStyle w:val="BodyText"/>
      </w:pPr>
      <w:r>
        <w:rPr>
          <w:bCs/>
          <w:b/>
        </w:rPr>
        <w:t xml:space="preserve">Sesgo que activa:</w:t>
      </w:r>
      <w:r>
        <w:t xml:space="preserve"> </w:t>
      </w:r>
      <w:r>
        <w:t xml:space="preserve">cierre prematuro</w:t>
      </w:r>
    </w:p>
    <w:p>
      <w:r>
        <w:pict>
          <v:rect style="width:0;height:1.5pt" o:hralign="center" o:hrstd="t" o:hr="t"/>
        </w:pict>
      </w:r>
    </w:p>
    <w:bookmarkEnd w:id="34"/>
    <w:bookmarkStart w:id="35" w:name="pregunta-3-1"/>
    <w:p>
      <w:pPr>
        <w:pStyle w:val="Heading3"/>
      </w:pPr>
      <w:r>
        <w:t xml:space="preserve">Pregunta 3</w:t>
      </w:r>
    </w:p>
    <w:p>
      <w:pPr>
        <w:pStyle w:val="FirstParagraph"/>
      </w:pPr>
      <w:r>
        <w:t xml:space="preserve">Mujer de 35 años con mioma submucoso de 3 cm, metrorragias moderadas, desea embarazo. ¿Cuál es el tratamiento más adecuado?</w:t>
      </w:r>
    </w:p>
    <w:p>
      <w:pPr>
        <w:numPr>
          <w:ilvl w:val="0"/>
          <w:numId w:val="1013"/>
        </w:numPr>
        <w:pStyle w:val="Compact"/>
      </w:pPr>
      <w:r>
        <w:rPr>
          <w:bCs/>
          <w:b/>
        </w:rPr>
        <w:t xml:space="preserve">A.</w:t>
      </w:r>
      <w:r>
        <w:t xml:space="preserve"> </w:t>
      </w:r>
      <w:r>
        <w:t xml:space="preserve">Histerectomía vaginal</w:t>
      </w:r>
    </w:p>
    <w:p>
      <w:pPr>
        <w:numPr>
          <w:ilvl w:val="0"/>
          <w:numId w:val="1013"/>
        </w:numPr>
        <w:pStyle w:val="Compact"/>
      </w:pPr>
      <w:r>
        <w:rPr>
          <w:bCs/>
          <w:b/>
        </w:rPr>
        <w:t xml:space="preserve">B.</w:t>
      </w:r>
      <w:r>
        <w:t xml:space="preserve"> </w:t>
      </w:r>
      <w:r>
        <w:t xml:space="preserve">Resección histeroscópica del mioma</w:t>
      </w:r>
    </w:p>
    <w:p>
      <w:pPr>
        <w:numPr>
          <w:ilvl w:val="0"/>
          <w:numId w:val="1013"/>
        </w:numPr>
        <w:pStyle w:val="Compact"/>
      </w:pPr>
      <w:r>
        <w:rPr>
          <w:bCs/>
          <w:b/>
        </w:rPr>
        <w:t xml:space="preserve">C.</w:t>
      </w:r>
      <w:r>
        <w:t xml:space="preserve"> </w:t>
      </w:r>
      <w:r>
        <w:t xml:space="preserve">Goserelina por 12 meses</w:t>
      </w:r>
    </w:p>
    <w:p>
      <w:pPr>
        <w:numPr>
          <w:ilvl w:val="0"/>
          <w:numId w:val="1013"/>
        </w:numPr>
        <w:pStyle w:val="Compact"/>
      </w:pPr>
      <w:r>
        <w:rPr>
          <w:bCs/>
          <w:b/>
        </w:rPr>
        <w:t xml:space="preserve">D.</w:t>
      </w:r>
      <w:r>
        <w:t xml:space="preserve"> </w:t>
      </w:r>
      <w:r>
        <w:t xml:space="preserve">Ablación endometrial</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En mioma submucoso con deseo de fertilidad, la resección histeroscópica es el tratamiento de elección por ser mínimamente invasivo, preservar útero y mejorar tasa de embarazos.</w:t>
      </w:r>
    </w:p>
    <w:p>
      <w:pPr>
        <w:pStyle w:val="BodyText"/>
      </w:pPr>
      <w:r>
        <w:rPr>
          <w:bCs/>
          <w:b/>
        </w:rPr>
        <w:t xml:space="preserve">Sesgo que activa:</w:t>
      </w:r>
      <w:r>
        <w:t xml:space="preserve"> </w:t>
      </w:r>
      <w:r>
        <w:t xml:space="preserve">prevalencia base</w:t>
      </w:r>
    </w:p>
    <w:p>
      <w:r>
        <w:pict>
          <v:rect style="width:0;height:1.5pt" o:hralign="center" o:hrstd="t" o:hr="t"/>
        </w:pict>
      </w:r>
    </w:p>
    <w:bookmarkEnd w:id="35"/>
    <w:bookmarkStart w:id="36" w:name="pregunta-4-1"/>
    <w:p>
      <w:pPr>
        <w:pStyle w:val="Heading3"/>
      </w:pPr>
      <w:r>
        <w:t xml:space="preserve">Pregunta 4</w:t>
      </w:r>
    </w:p>
    <w:p>
      <w:pPr>
        <w:pStyle w:val="FirstParagraph"/>
      </w:pPr>
      <w:r>
        <w:t xml:space="preserve">Paciente de 45 años con miomatosis múltiple, anemia severa (Hb 7.2 g/dL), riesgo quirúrgico elevado por cardiopatía. ¿Cuál alternativa puede considerarse?</w:t>
      </w:r>
    </w:p>
    <w:p>
      <w:pPr>
        <w:numPr>
          <w:ilvl w:val="0"/>
          <w:numId w:val="1014"/>
        </w:numPr>
        <w:pStyle w:val="Compact"/>
      </w:pPr>
      <w:r>
        <w:rPr>
          <w:bCs/>
          <w:b/>
        </w:rPr>
        <w:t xml:space="preserve">A.</w:t>
      </w:r>
      <w:r>
        <w:t xml:space="preserve"> </w:t>
      </w:r>
      <w:r>
        <w:t xml:space="preserve">Histerectomía abdominal de urgencia</w:t>
      </w:r>
    </w:p>
    <w:p>
      <w:pPr>
        <w:numPr>
          <w:ilvl w:val="0"/>
          <w:numId w:val="1014"/>
        </w:numPr>
        <w:pStyle w:val="Compact"/>
      </w:pPr>
      <w:r>
        <w:rPr>
          <w:bCs/>
          <w:b/>
        </w:rPr>
        <w:t xml:space="preserve">B.</w:t>
      </w:r>
      <w:r>
        <w:t xml:space="preserve"> </w:t>
      </w:r>
      <w:r>
        <w:t xml:space="preserve">DIU liberador de levonorgestrel</w:t>
      </w:r>
    </w:p>
    <w:p>
      <w:pPr>
        <w:numPr>
          <w:ilvl w:val="0"/>
          <w:numId w:val="1014"/>
        </w:numPr>
        <w:pStyle w:val="Compact"/>
      </w:pPr>
      <w:r>
        <w:rPr>
          <w:bCs/>
          <w:b/>
        </w:rPr>
        <w:t xml:space="preserve">C.</w:t>
      </w:r>
      <w:r>
        <w:t xml:space="preserve"> </w:t>
      </w:r>
      <w:r>
        <w:t xml:space="preserve">Miomectomía laparoscópica</w:t>
      </w:r>
    </w:p>
    <w:p>
      <w:pPr>
        <w:numPr>
          <w:ilvl w:val="0"/>
          <w:numId w:val="1014"/>
        </w:numPr>
        <w:pStyle w:val="Compact"/>
      </w:pPr>
      <w:r>
        <w:rPr>
          <w:bCs/>
          <w:b/>
        </w:rPr>
        <w:t xml:space="preserve">D.</w:t>
      </w:r>
      <w:r>
        <w:t xml:space="preserve"> </w:t>
      </w:r>
      <w:r>
        <w:t xml:space="preserve">Goserelina sin límite de tiempo</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El DIU con levonorgestrel es opción para control de hemorragia en pacientes con riesgo quirúrgico elevado o perimenopáusicas que desean conservar útero. Goserelina se limita a &lt;6 meses por riesgo de osteoporosis.</w:t>
      </w:r>
    </w:p>
    <w:p>
      <w:pPr>
        <w:pStyle w:val="BodyText"/>
      </w:pPr>
      <w:r>
        <w:rPr>
          <w:bCs/>
          <w:b/>
        </w:rPr>
        <w:t xml:space="preserve">Sesgo que activa:</w:t>
      </w:r>
      <w:r>
        <w:t xml:space="preserve"> </w:t>
      </w:r>
      <w:r>
        <w:t xml:space="preserve">disponibilidad</w:t>
      </w:r>
    </w:p>
    <w:p>
      <w:r>
        <w:pict>
          <v:rect style="width:0;height:1.5pt" o:hralign="center" o:hrstd="t" o:hr="t"/>
        </w:pict>
      </w:r>
    </w:p>
    <w:bookmarkEnd w:id="36"/>
    <w:bookmarkStart w:id="37" w:name="pregunta-5-1"/>
    <w:p>
      <w:pPr>
        <w:pStyle w:val="Heading3"/>
      </w:pPr>
      <w:r>
        <w:t xml:space="preserve">Pregunta 5</w:t>
      </w:r>
    </w:p>
    <w:p>
      <w:pPr>
        <w:pStyle w:val="FirstParagraph"/>
      </w:pPr>
      <w:r>
        <w:t xml:space="preserve">Mujer de 33 años embarazada de 20 semanas con mioma uterino de 8 cm. Presenta dolor pélvico intenso súbito, fiebre 38°C y sensibilidad localizada sobre el mioma.</w:t>
      </w:r>
    </w:p>
    <w:p>
      <w:pPr>
        <w:numPr>
          <w:ilvl w:val="0"/>
          <w:numId w:val="1015"/>
        </w:numPr>
        <w:pStyle w:val="Compact"/>
      </w:pPr>
      <w:r>
        <w:rPr>
          <w:bCs/>
          <w:b/>
        </w:rPr>
        <w:t xml:space="preserve">A.</w:t>
      </w:r>
      <w:r>
        <w:t xml:space="preserve"> </w:t>
      </w:r>
      <w:r>
        <w:t xml:space="preserve">Torsión de mioma pediculado</w:t>
      </w:r>
    </w:p>
    <w:p>
      <w:pPr>
        <w:numPr>
          <w:ilvl w:val="0"/>
          <w:numId w:val="1015"/>
        </w:numPr>
        <w:pStyle w:val="Compact"/>
      </w:pPr>
      <w:r>
        <w:rPr>
          <w:bCs/>
          <w:b/>
        </w:rPr>
        <w:t xml:space="preserve">B.</w:t>
      </w:r>
      <w:r>
        <w:t xml:space="preserve"> </w:t>
      </w:r>
      <w:r>
        <w:t xml:space="preserve">Degeneración carnosa dolorosa (red degeneration)</w:t>
      </w:r>
    </w:p>
    <w:p>
      <w:pPr>
        <w:numPr>
          <w:ilvl w:val="0"/>
          <w:numId w:val="1015"/>
        </w:numPr>
        <w:pStyle w:val="Compact"/>
      </w:pPr>
      <w:r>
        <w:rPr>
          <w:bCs/>
          <w:b/>
        </w:rPr>
        <w:t xml:space="preserve">C.</w:t>
      </w:r>
      <w:r>
        <w:t xml:space="preserve"> </w:t>
      </w:r>
      <w:r>
        <w:t xml:space="preserve">Ruptura uterina</w:t>
      </w:r>
    </w:p>
    <w:p>
      <w:pPr>
        <w:numPr>
          <w:ilvl w:val="0"/>
          <w:numId w:val="1015"/>
        </w:numPr>
        <w:pStyle w:val="Compact"/>
      </w:pPr>
      <w:r>
        <w:rPr>
          <w:bCs/>
          <w:b/>
        </w:rPr>
        <w:t xml:space="preserve">D.</w:t>
      </w:r>
      <w:r>
        <w:t xml:space="preserve"> </w:t>
      </w:r>
      <w:r>
        <w:t xml:space="preserve">Desprendimiento placentario</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Durante el embarazo, 5-10% de pacientes con miomas desarrollan degeneración carnosa dolorosa (red degeneration) por hemorragia intratumoral e infarto. Se manifiesta con dolor súbito, fiebre leve y sensibilidad localizada.</w:t>
      </w:r>
    </w:p>
    <w:p>
      <w:pPr>
        <w:pStyle w:val="BodyText"/>
      </w:pPr>
      <w:r>
        <w:rPr>
          <w:bCs/>
          <w:b/>
        </w:rPr>
        <w:t xml:space="preserve">Sesgo que activa:</w:t>
      </w:r>
      <w:r>
        <w:t xml:space="preserve"> </w:t>
      </w:r>
      <w:r>
        <w:t xml:space="preserve">prevalencia base</w:t>
      </w:r>
    </w:p>
    <w:p>
      <w:r>
        <w:pict>
          <v:rect style="width:0;height:1.5pt" o:hralign="center" o:hrstd="t" o:hr="t"/>
        </w:pict>
      </w:r>
    </w:p>
    <w:bookmarkEnd w:id="37"/>
    <w:bookmarkStart w:id="38" w:name="pregunta-6-1"/>
    <w:p>
      <w:pPr>
        <w:pStyle w:val="Heading3"/>
      </w:pPr>
      <w:r>
        <w:t xml:space="preserve">Pregunta 6</w:t>
      </w:r>
    </w:p>
    <w:p>
      <w:pPr>
        <w:pStyle w:val="FirstParagraph"/>
      </w:pPr>
      <w:r>
        <w:t xml:space="preserve">Paciente de 36 años con miomatosis uterina múltiple, programada para miomectomía. Preoperatorio el mioma mide 12 cm. ¿Qué tratamiento prequirúrgico puede reducir tamaño tumoral?</w:t>
      </w:r>
    </w:p>
    <w:p>
      <w:pPr>
        <w:numPr>
          <w:ilvl w:val="0"/>
          <w:numId w:val="1016"/>
        </w:numPr>
        <w:pStyle w:val="Compact"/>
      </w:pPr>
      <w:r>
        <w:rPr>
          <w:bCs/>
          <w:b/>
        </w:rPr>
        <w:t xml:space="preserve">A.</w:t>
      </w:r>
      <w:r>
        <w:t xml:space="preserve"> </w:t>
      </w:r>
      <w:r>
        <w:t xml:space="preserve">Goserelina por 3-6 meses</w:t>
      </w:r>
    </w:p>
    <w:p>
      <w:pPr>
        <w:numPr>
          <w:ilvl w:val="0"/>
          <w:numId w:val="1016"/>
        </w:numPr>
        <w:pStyle w:val="Compact"/>
      </w:pPr>
      <w:r>
        <w:rPr>
          <w:bCs/>
          <w:b/>
        </w:rPr>
        <w:t xml:space="preserve">B.</w:t>
      </w:r>
      <w:r>
        <w:t xml:space="preserve"> </w:t>
      </w:r>
      <w:r>
        <w:t xml:space="preserve">Tamoxifeno por 6 meses</w:t>
      </w:r>
    </w:p>
    <w:p>
      <w:pPr>
        <w:numPr>
          <w:ilvl w:val="0"/>
          <w:numId w:val="1016"/>
        </w:numPr>
        <w:pStyle w:val="Compact"/>
      </w:pPr>
      <w:r>
        <w:rPr>
          <w:bCs/>
          <w:b/>
        </w:rPr>
        <w:t xml:space="preserve">C.</w:t>
      </w:r>
      <w:r>
        <w:t xml:space="preserve"> </w:t>
      </w:r>
      <w:r>
        <w:t xml:space="preserve">Clomifeno por 3 meses</w:t>
      </w:r>
    </w:p>
    <w:p>
      <w:pPr>
        <w:numPr>
          <w:ilvl w:val="0"/>
          <w:numId w:val="1016"/>
        </w:numPr>
        <w:pStyle w:val="Compact"/>
      </w:pPr>
      <w:r>
        <w:rPr>
          <w:bCs/>
          <w:b/>
        </w:rPr>
        <w:t xml:space="preserve">D.</w:t>
      </w:r>
      <w:r>
        <w:t xml:space="preserve"> </w:t>
      </w:r>
      <w:r>
        <w:t xml:space="preserve">Metformina por 6 meses</w:t>
      </w:r>
    </w:p>
    <w:p>
      <w:pPr>
        <w:pStyle w:val="FirstParagraph"/>
      </w:pPr>
      <w:r>
        <w:rPr>
          <w:bCs/>
          <w:b/>
        </w:rPr>
        <w:t xml:space="preserve">Respuesta correcta:</w:t>
      </w:r>
      <w:r>
        <w:t xml:space="preserve"> </w:t>
      </w:r>
      <w:r>
        <w:t xml:space="preserve">A</w:t>
      </w:r>
    </w:p>
    <w:p>
      <w:pPr>
        <w:pStyle w:val="BodyText"/>
      </w:pPr>
      <w:r>
        <w:rPr>
          <w:bCs/>
          <w:b/>
        </w:rPr>
        <w:t xml:space="preserve">Explicación:</w:t>
      </w:r>
      <w:r>
        <w:t xml:space="preserve"> </w:t>
      </w:r>
      <w:r>
        <w:t xml:space="preserve">Goserelina (agonista de GnRH) reduce el tamaño del mioma hasta 60% en cursos &lt;6 meses, facilitando la miomectomía y reduciendo pérdida sanguínea. No debe usarse &gt;6 meses por osteoporosis.</w:t>
      </w:r>
    </w:p>
    <w:p>
      <w:pPr>
        <w:pStyle w:val="BodyText"/>
      </w:pPr>
      <w:r>
        <w:rPr>
          <w:bCs/>
          <w:b/>
        </w:rPr>
        <w:t xml:space="preserve">Sesgo que activa:</w:t>
      </w:r>
      <w:r>
        <w:t xml:space="preserve"> </w:t>
      </w:r>
      <w:r>
        <w:t xml:space="preserve">disponibilidad</w:t>
      </w:r>
    </w:p>
    <w:p>
      <w:r>
        <w:pict>
          <v:rect style="width:0;height:1.5pt" o:hralign="center" o:hrstd="t" o:hr="t"/>
        </w:pict>
      </w:r>
    </w:p>
    <w:bookmarkEnd w:id="38"/>
    <w:bookmarkStart w:id="39" w:name="pregunta-7-1"/>
    <w:p>
      <w:pPr>
        <w:pStyle w:val="Heading3"/>
      </w:pPr>
      <w:r>
        <w:t xml:space="preserve">Pregunta 7</w:t>
      </w:r>
    </w:p>
    <w:p>
      <w:pPr>
        <w:pStyle w:val="FirstParagraph"/>
      </w:pPr>
      <w:r>
        <w:t xml:space="preserve">Mujer de 40 años con mioma intramural de 4 cm, asintomática. ¿Cuál es la conducta adecuada?</w:t>
      </w:r>
    </w:p>
    <w:p>
      <w:pPr>
        <w:numPr>
          <w:ilvl w:val="0"/>
          <w:numId w:val="1017"/>
        </w:numPr>
        <w:pStyle w:val="Compact"/>
      </w:pPr>
      <w:r>
        <w:rPr>
          <w:bCs/>
          <w:b/>
        </w:rPr>
        <w:t xml:space="preserve">A.</w:t>
      </w:r>
      <w:r>
        <w:t xml:space="preserve"> </w:t>
      </w:r>
      <w:r>
        <w:t xml:space="preserve">Histerectomía profiláctica</w:t>
      </w:r>
    </w:p>
    <w:p>
      <w:pPr>
        <w:numPr>
          <w:ilvl w:val="0"/>
          <w:numId w:val="1017"/>
        </w:numPr>
        <w:pStyle w:val="Compact"/>
      </w:pPr>
      <w:r>
        <w:rPr>
          <w:bCs/>
          <w:b/>
        </w:rPr>
        <w:t xml:space="preserve">B.</w:t>
      </w:r>
      <w:r>
        <w:t xml:space="preserve"> </w:t>
      </w:r>
      <w:r>
        <w:t xml:space="preserve">Vigilancia con ultrasonido cada 6-12 meses</w:t>
      </w:r>
    </w:p>
    <w:p>
      <w:pPr>
        <w:numPr>
          <w:ilvl w:val="0"/>
          <w:numId w:val="1017"/>
        </w:numPr>
        <w:pStyle w:val="Compact"/>
      </w:pPr>
      <w:r>
        <w:rPr>
          <w:bCs/>
          <w:b/>
        </w:rPr>
        <w:t xml:space="preserve">C.</w:t>
      </w:r>
      <w:r>
        <w:t xml:space="preserve"> </w:t>
      </w:r>
      <w:r>
        <w:t xml:space="preserve">Goserelina por 6 meses</w:t>
      </w:r>
    </w:p>
    <w:p>
      <w:pPr>
        <w:numPr>
          <w:ilvl w:val="0"/>
          <w:numId w:val="1017"/>
        </w:numPr>
        <w:pStyle w:val="Compact"/>
      </w:pPr>
      <w:r>
        <w:rPr>
          <w:bCs/>
          <w:b/>
        </w:rPr>
        <w:t xml:space="preserve">D.</w:t>
      </w:r>
      <w:r>
        <w:t xml:space="preserve"> </w:t>
      </w:r>
      <w:r>
        <w:t xml:space="preserve">Miomectomía inmediata</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Los miomas pequeños y asintomáticos no requieren tratamiento. La GPC establece vigilancia por ultrasonido con frecuencia de 6-12 meses dependiendo de las características de la paciente.</w:t>
      </w:r>
    </w:p>
    <w:p>
      <w:pPr>
        <w:pStyle w:val="BodyText"/>
      </w:pPr>
      <w:r>
        <w:rPr>
          <w:bCs/>
          <w:b/>
        </w:rPr>
        <w:t xml:space="preserve">Sesgo que activa:</w:t>
      </w:r>
      <w:r>
        <w:t xml:space="preserve"> </w:t>
      </w:r>
      <w:r>
        <w:t xml:space="preserve">cierre prematuro</w:t>
      </w:r>
    </w:p>
    <w:p>
      <w:r>
        <w:pict>
          <v:rect style="width:0;height:1.5pt" o:hralign="center" o:hrstd="t" o:hr="t"/>
        </w:pict>
      </w:r>
    </w:p>
    <w:bookmarkEnd w:id="39"/>
    <w:bookmarkStart w:id="40" w:name="pregunta-8-1"/>
    <w:p>
      <w:pPr>
        <w:pStyle w:val="Heading3"/>
      </w:pPr>
      <w:r>
        <w:t xml:space="preserve">Pregunta 8</w:t>
      </w:r>
    </w:p>
    <w:p>
      <w:pPr>
        <w:pStyle w:val="FirstParagraph"/>
      </w:pPr>
      <w:r>
        <w:t xml:space="preserve">Paciente de 48 años, perimenopáusica, con miomatosis y metrorragias. Desea evitar cirugía. ¿Cuál opción hormonal puede controlar el sangrado?</w:t>
      </w:r>
    </w:p>
    <w:p>
      <w:pPr>
        <w:numPr>
          <w:ilvl w:val="0"/>
          <w:numId w:val="1018"/>
        </w:numPr>
        <w:pStyle w:val="Compact"/>
      </w:pPr>
      <w:r>
        <w:rPr>
          <w:bCs/>
          <w:b/>
        </w:rPr>
        <w:t xml:space="preserve">A.</w:t>
      </w:r>
      <w:r>
        <w:t xml:space="preserve"> </w:t>
      </w:r>
      <w:r>
        <w:t xml:space="preserve">Estrogenoterapia sola</w:t>
      </w:r>
    </w:p>
    <w:p>
      <w:pPr>
        <w:numPr>
          <w:ilvl w:val="0"/>
          <w:numId w:val="1018"/>
        </w:numPr>
        <w:pStyle w:val="Compact"/>
      </w:pPr>
      <w:r>
        <w:rPr>
          <w:bCs/>
          <w:b/>
        </w:rPr>
        <w:t xml:space="preserve">B.</w:t>
      </w:r>
      <w:r>
        <w:t xml:space="preserve"> </w:t>
      </w:r>
      <w:r>
        <w:t xml:space="preserve">DIU con levonorgestrel</w:t>
      </w:r>
    </w:p>
    <w:p>
      <w:pPr>
        <w:numPr>
          <w:ilvl w:val="0"/>
          <w:numId w:val="1018"/>
        </w:numPr>
        <w:pStyle w:val="Compact"/>
      </w:pPr>
      <w:r>
        <w:rPr>
          <w:bCs/>
          <w:b/>
        </w:rPr>
        <w:t xml:space="preserve">C.</w:t>
      </w:r>
      <w:r>
        <w:t xml:space="preserve"> </w:t>
      </w:r>
      <w:r>
        <w:t xml:space="preserve">Tamoxifeno</w:t>
      </w:r>
    </w:p>
    <w:p>
      <w:pPr>
        <w:numPr>
          <w:ilvl w:val="0"/>
          <w:numId w:val="1018"/>
        </w:numPr>
        <w:pStyle w:val="Compact"/>
      </w:pPr>
      <w:r>
        <w:rPr>
          <w:bCs/>
          <w:b/>
        </w:rPr>
        <w:t xml:space="preserve">D.</w:t>
      </w:r>
      <w:r>
        <w:t xml:space="preserve"> </w:t>
      </w:r>
      <w:r>
        <w:t xml:space="preserve">Clomifeno</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El DIU liberador de levonorgestrel controla la hemorragia en miomatosis de elementos pequeños o en pacientes con riesgo quirúrgico elevado/perimenopáusicas que desean preservar útero.</w:t>
      </w:r>
    </w:p>
    <w:p>
      <w:pPr>
        <w:pStyle w:val="BodyText"/>
      </w:pPr>
      <w:r>
        <w:rPr>
          <w:bCs/>
          <w:b/>
        </w:rPr>
        <w:t xml:space="preserve">Sesgo que activa:</w:t>
      </w:r>
      <w:r>
        <w:t xml:space="preserve"> </w:t>
      </w:r>
      <w:r>
        <w:t xml:space="preserve">disponibilidad</w:t>
      </w:r>
    </w:p>
    <w:p>
      <w:r>
        <w:pict>
          <v:rect style="width:0;height:1.5pt" o:hralign="center" o:hrstd="t" o:hr="t"/>
        </w:pict>
      </w:r>
    </w:p>
    <w:bookmarkEnd w:id="40"/>
    <w:bookmarkStart w:id="41" w:name="pregunta-9-1"/>
    <w:p>
      <w:pPr>
        <w:pStyle w:val="Heading3"/>
      </w:pPr>
      <w:r>
        <w:t xml:space="preserve">Pregunta 9</w:t>
      </w:r>
    </w:p>
    <w:p>
      <w:pPr>
        <w:pStyle w:val="FirstParagraph"/>
      </w:pPr>
      <w:r>
        <w:t xml:space="preserve">Mujer de 34 años con masa abdominal de 6 meses de evolución, palpable por encima de la sínfisis. USG: útero aumentado con múltiples masas hipoecoicas bien delimitadas. ¿Cuál es la conducta diagnóstica si tiene &gt;35 años y metrorragias?</w:t>
      </w:r>
    </w:p>
    <w:p>
      <w:pPr>
        <w:numPr>
          <w:ilvl w:val="0"/>
          <w:numId w:val="1019"/>
        </w:numPr>
        <w:pStyle w:val="Compact"/>
      </w:pPr>
      <w:r>
        <w:rPr>
          <w:bCs/>
          <w:b/>
        </w:rPr>
        <w:t xml:space="preserve">A.</w:t>
      </w:r>
      <w:r>
        <w:t xml:space="preserve"> </w:t>
      </w:r>
      <w:r>
        <w:t xml:space="preserve">Biopsia endometrial</w:t>
      </w:r>
    </w:p>
    <w:p>
      <w:pPr>
        <w:numPr>
          <w:ilvl w:val="0"/>
          <w:numId w:val="1019"/>
        </w:numPr>
        <w:pStyle w:val="Compact"/>
      </w:pPr>
      <w:r>
        <w:rPr>
          <w:bCs/>
          <w:b/>
        </w:rPr>
        <w:t xml:space="preserve">B.</w:t>
      </w:r>
      <w:r>
        <w:t xml:space="preserve"> </w:t>
      </w:r>
      <w:r>
        <w:t xml:space="preserve">Punción aspiración del mioma</w:t>
      </w:r>
    </w:p>
    <w:p>
      <w:pPr>
        <w:numPr>
          <w:ilvl w:val="0"/>
          <w:numId w:val="1019"/>
        </w:numPr>
        <w:pStyle w:val="Compact"/>
      </w:pPr>
      <w:r>
        <w:rPr>
          <w:bCs/>
          <w:b/>
        </w:rPr>
        <w:t xml:space="preserve">C.</w:t>
      </w:r>
      <w:r>
        <w:t xml:space="preserve"> </w:t>
      </w:r>
      <w:r>
        <w:t xml:space="preserve">Marcadores tumorales CA-125 y HE-4</w:t>
      </w:r>
    </w:p>
    <w:p>
      <w:pPr>
        <w:numPr>
          <w:ilvl w:val="0"/>
          <w:numId w:val="1019"/>
        </w:numPr>
        <w:pStyle w:val="Compact"/>
      </w:pPr>
      <w:r>
        <w:rPr>
          <w:bCs/>
          <w:b/>
        </w:rPr>
        <w:t xml:space="preserve">D.</w:t>
      </w:r>
      <w:r>
        <w:t xml:space="preserve"> </w:t>
      </w:r>
      <w:r>
        <w:t xml:space="preserve">Tomografía de abdomen</w:t>
      </w:r>
    </w:p>
    <w:p>
      <w:pPr>
        <w:pStyle w:val="FirstParagraph"/>
      </w:pPr>
      <w:r>
        <w:rPr>
          <w:bCs/>
          <w:b/>
        </w:rPr>
        <w:t xml:space="preserve">Respuesta correcta:</w:t>
      </w:r>
      <w:r>
        <w:t xml:space="preserve"> </w:t>
      </w:r>
      <w:r>
        <w:t xml:space="preserve">A</w:t>
      </w:r>
    </w:p>
    <w:p>
      <w:pPr>
        <w:pStyle w:val="BodyText"/>
      </w:pPr>
      <w:r>
        <w:rPr>
          <w:bCs/>
          <w:b/>
        </w:rPr>
        <w:t xml:space="preserve">Explicación:</w:t>
      </w:r>
      <w:r>
        <w:t xml:space="preserve"> </w:t>
      </w:r>
      <w:r>
        <w:t xml:space="preserve">La biopsia endometrial está indicada en pacientes &gt;35 años con miomatosis y metrorragias para descartar hiperplasia endometrial o cáncer endometrial, que pueden coexistir o confundirse clínicamente.</w:t>
      </w:r>
    </w:p>
    <w:p>
      <w:pPr>
        <w:pStyle w:val="BodyText"/>
      </w:pPr>
      <w:r>
        <w:rPr>
          <w:bCs/>
          <w:b/>
        </w:rPr>
        <w:t xml:space="preserve">Sesgo que activa:</w:t>
      </w:r>
      <w:r>
        <w:t xml:space="preserve"> </w:t>
      </w:r>
      <w:r>
        <w:t xml:space="preserve">prevalencia base</w:t>
      </w:r>
    </w:p>
    <w:p>
      <w:r>
        <w:pict>
          <v:rect style="width:0;height:1.5pt" o:hralign="center" o:hrstd="t" o:hr="t"/>
        </w:pict>
      </w:r>
    </w:p>
    <w:bookmarkEnd w:id="41"/>
    <w:bookmarkStart w:id="42" w:name="pregunta-10-1"/>
    <w:p>
      <w:pPr>
        <w:pStyle w:val="Heading3"/>
      </w:pPr>
      <w:r>
        <w:t xml:space="preserve">Pregunta 10</w:t>
      </w:r>
    </w:p>
    <w:p>
      <w:pPr>
        <w:pStyle w:val="FirstParagraph"/>
      </w:pPr>
      <w:r>
        <w:t xml:space="preserve">Paciente de 37 años con mioma subseroso pediculado de 6 cm. Presenta dolor pélvico agudo súbito con náuseas. ¿Cuál es la complicación?</w:t>
      </w:r>
    </w:p>
    <w:p>
      <w:pPr>
        <w:numPr>
          <w:ilvl w:val="0"/>
          <w:numId w:val="1020"/>
        </w:numPr>
        <w:pStyle w:val="Compact"/>
      </w:pPr>
      <w:r>
        <w:rPr>
          <w:bCs/>
          <w:b/>
        </w:rPr>
        <w:t xml:space="preserve">A.</w:t>
      </w:r>
      <w:r>
        <w:t xml:space="preserve"> </w:t>
      </w:r>
      <w:r>
        <w:t xml:space="preserve">Degeneración hialina</w:t>
      </w:r>
    </w:p>
    <w:p>
      <w:pPr>
        <w:numPr>
          <w:ilvl w:val="0"/>
          <w:numId w:val="1020"/>
        </w:numPr>
        <w:pStyle w:val="Compact"/>
      </w:pPr>
      <w:r>
        <w:rPr>
          <w:bCs/>
          <w:b/>
        </w:rPr>
        <w:t xml:space="preserve">B.</w:t>
      </w:r>
      <w:r>
        <w:t xml:space="preserve"> </w:t>
      </w:r>
      <w:r>
        <w:t xml:space="preserve">Torsión del mioma pediculado</w:t>
      </w:r>
    </w:p>
    <w:p>
      <w:pPr>
        <w:numPr>
          <w:ilvl w:val="0"/>
          <w:numId w:val="1020"/>
        </w:numPr>
        <w:pStyle w:val="Compact"/>
      </w:pPr>
      <w:r>
        <w:rPr>
          <w:bCs/>
          <w:b/>
        </w:rPr>
        <w:t xml:space="preserve">C.</w:t>
      </w:r>
      <w:r>
        <w:t xml:space="preserve"> </w:t>
      </w:r>
      <w:r>
        <w:t xml:space="preserve">Ruptura uterina</w:t>
      </w:r>
    </w:p>
    <w:p>
      <w:pPr>
        <w:numPr>
          <w:ilvl w:val="0"/>
          <w:numId w:val="1020"/>
        </w:numPr>
        <w:pStyle w:val="Compact"/>
      </w:pPr>
      <w:r>
        <w:rPr>
          <w:bCs/>
          <w:b/>
        </w:rPr>
        <w:t xml:space="preserve">D.</w:t>
      </w:r>
      <w:r>
        <w:t xml:space="preserve"> </w:t>
      </w:r>
      <w:r>
        <w:t xml:space="preserve">Prolapso endometrial</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El dolor agudo súbito en mioma subseroso pediculado sugiere torsión del pedículo vascular con isquemia del mioma. Es indicación quirúrgica urgente por riesgo de necrosis y peritonitis.</w:t>
      </w:r>
    </w:p>
    <w:p>
      <w:pPr>
        <w:pStyle w:val="BodyText"/>
      </w:pPr>
      <w:r>
        <w:rPr>
          <w:bCs/>
          <w:b/>
        </w:rPr>
        <w:t xml:space="preserve">Sesgo que activa:</w:t>
      </w:r>
      <w:r>
        <w:t xml:space="preserve"> </w:t>
      </w:r>
      <w:r>
        <w:t xml:space="preserve">anclaje</w:t>
      </w:r>
    </w:p>
    <w:p>
      <w:r>
        <w:pict>
          <v:rect style="width:0;height:1.5pt" o:hralign="center" o:hrstd="t" o:hr="t"/>
        </w:pict>
      </w:r>
    </w:p>
    <w:bookmarkEnd w:id="42"/>
    <w:bookmarkEnd w:id="43"/>
    <w:bookmarkStart w:id="55" w:name="tema-parto-pretérmino"/>
    <w:p>
      <w:pPr>
        <w:pStyle w:val="Heading2"/>
      </w:pPr>
      <w:r>
        <w:t xml:space="preserve">Tema: Parto Pretérmino</w:t>
      </w:r>
    </w:p>
    <w:bookmarkStart w:id="44" w:name="illness-script-2"/>
    <w:p>
      <w:pPr>
        <w:pStyle w:val="Heading3"/>
      </w:pPr>
      <w:r>
        <w:t xml:space="preserve">Illness Script</w:t>
      </w:r>
    </w:p>
    <w:tbl>
      <w:tblPr>
        <w:tblStyle w:val="Table"/>
        <w:tblW w:type="pct" w:w="5000"/>
        <w:tblLook w:firstRow="1" w:lastRow="0" w:firstColumn="0" w:lastColumn="0" w:noHBand="0" w:noVBand="0" w:val="0020"/>
        <w:jc w:val="start"/>
        <w:tblLayout w:type="fixed"/>
      </w:tblPr>
      <w:tblGrid>
        <w:gridCol w:w="3960"/>
        <w:gridCol w:w="3960"/>
      </w:tblGrid>
      <w:tr>
        <w:trPr>
          <w:tblHeader w:val="true"/>
        </w:trPr>
        <w:tc>
          <w:tcPr/>
          <w:p>
            <w:pPr>
              <w:pStyle w:val="Compact"/>
              <w:jc w:val="left"/>
            </w:pPr>
            <w:r>
              <w:t xml:space="preserve">Aspecto</w:t>
            </w:r>
          </w:p>
        </w:tc>
        <w:tc>
          <w:tcPr/>
          <w:p>
            <w:pPr>
              <w:pStyle w:val="Compact"/>
              <w:jc w:val="left"/>
            </w:pPr>
            <w:r>
              <w:t xml:space="preserve">Descripción</w:t>
            </w:r>
          </w:p>
        </w:tc>
      </w:tr>
      <w:tr>
        <w:tc>
          <w:tcPr/>
          <w:p>
            <w:pPr>
              <w:pStyle w:val="Compact"/>
              <w:jc w:val="left"/>
            </w:pPr>
            <w:r>
              <w:rPr>
                <w:bCs/>
                <w:b/>
              </w:rPr>
              <w:t xml:space="preserve">Epidemiología</w:t>
            </w:r>
          </w:p>
        </w:tc>
        <w:tc>
          <w:tcPr/>
          <w:p>
            <w:pPr>
              <w:pStyle w:val="Compact"/>
              <w:jc w:val="left"/>
            </w:pPr>
            <w:r>
              <w:t xml:space="preserve">Principal causa de morbilidad y mortalidad perinatales mundialmente. 35-37% trabajo de parto pretérmino espontáneo. 12-15% embarazos múltiples. 12-15% amniorrexis prematura. Factores: antecedente de pretérmino, infecciones, embarazo múltiple, tabaquismo.</w:t>
            </w:r>
          </w:p>
        </w:tc>
      </w:tr>
      <w:tr>
        <w:tc>
          <w:tcPr/>
          <w:p>
            <w:pPr>
              <w:pStyle w:val="Compact"/>
              <w:jc w:val="left"/>
            </w:pPr>
            <w:r>
              <w:rPr>
                <w:bCs/>
                <w:b/>
              </w:rPr>
              <w:t xml:space="preserve">Curso temporal</w:t>
            </w:r>
          </w:p>
        </w:tc>
        <w:tc>
          <w:tcPr/>
          <w:p>
            <w:pPr>
              <w:pStyle w:val="Compact"/>
              <w:jc w:val="left"/>
            </w:pPr>
            <w:r>
              <w:t xml:space="preserve">Pretérmino muy temprano: 22-23 semanas. Pretérmino temprano: 24-33 semanas. Pretérmino tardío: 34-36 semanas. Riesgo de recurrencia aumenta con antecedente previo.</w:t>
            </w:r>
          </w:p>
        </w:tc>
      </w:tr>
      <w:tr>
        <w:tc>
          <w:tcPr/>
          <w:p>
            <w:pPr>
              <w:pStyle w:val="Compact"/>
              <w:jc w:val="left"/>
            </w:pPr>
            <w:r>
              <w:rPr>
                <w:bCs/>
                <w:b/>
              </w:rPr>
              <w:t xml:space="preserve">Fisiopatología</w:t>
            </w:r>
          </w:p>
        </w:tc>
        <w:tc>
          <w:tcPr/>
          <w:p>
            <w:pPr>
              <w:pStyle w:val="Compact"/>
              <w:jc w:val="left"/>
            </w:pPr>
            <w:r>
              <w:t xml:space="preserve">Contracciones uterinas regulares (2 en 10 min, 4 en 20 min, 8 en 60 min) + cambios cervicales (borramiento &gt;80% o dilatación ≥3 cm) a edad gestacional 22-36 semanas. Infección/inflamación, hemorragia decidual, distensión uterina, activación hipotalámico-hipofisaria.</w:t>
            </w:r>
          </w:p>
        </w:tc>
      </w:tr>
      <w:tr>
        <w:tc>
          <w:tcPr/>
          <w:p>
            <w:pPr>
              <w:pStyle w:val="Compact"/>
              <w:jc w:val="left"/>
            </w:pPr>
            <w:r>
              <w:rPr>
                <w:bCs/>
                <w:b/>
              </w:rPr>
              <w:t xml:space="preserve">Presentación clínica</w:t>
            </w:r>
          </w:p>
        </w:tc>
        <w:tc>
          <w:tcPr/>
          <w:p>
            <w:pPr>
              <w:pStyle w:val="Compact"/>
              <w:jc w:val="left"/>
            </w:pPr>
            <w:r>
              <w:t xml:space="preserve">Contracciones uterinas regulares, pérdida de tapón mucoso, sangrado vaginal leve, rotura de membranas. Cambios cervicales documentados son mejor predictor que contracciones solas.</w:t>
            </w:r>
          </w:p>
        </w:tc>
      </w:tr>
      <w:tr>
        <w:tc>
          <w:tcPr/>
          <w:p>
            <w:pPr>
              <w:pStyle w:val="Compact"/>
              <w:jc w:val="left"/>
            </w:pPr>
            <w:r>
              <w:rPr>
                <w:bCs/>
                <w:b/>
              </w:rPr>
              <w:t xml:space="preserve">Diagnóstico</w:t>
            </w:r>
          </w:p>
        </w:tc>
        <w:tc>
          <w:tcPr/>
          <w:p>
            <w:pPr>
              <w:pStyle w:val="Compact"/>
              <w:jc w:val="left"/>
            </w:pPr>
            <w:r>
              <w:t xml:space="preserve">Contracciones + cambios cervicales a 22-36 semanas. Pruebas predictivas: longitud cervical &lt;15 mm a las 20-34 semanas, fibronectina fetal positiva a las 24-34 semanas (alto VPP negativo). Amniocentesis para infección/madurez pulmonar.</w:t>
            </w:r>
          </w:p>
        </w:tc>
      </w:tr>
      <w:tr>
        <w:tc>
          <w:tcPr/>
          <w:p>
            <w:pPr>
              <w:pStyle w:val="Compact"/>
              <w:jc w:val="left"/>
            </w:pPr>
            <w:r>
              <w:rPr>
                <w:bCs/>
                <w:b/>
              </w:rPr>
              <w:t xml:space="preserve">Tratamiento</w:t>
            </w:r>
          </w:p>
        </w:tc>
        <w:tc>
          <w:tcPr/>
          <w:p>
            <w:pPr>
              <w:pStyle w:val="Compact"/>
              <w:jc w:val="left"/>
            </w:pPr>
            <w:r>
              <w:t xml:space="preserve">Tocolisis por 48h (objetivo: ganar tiempo para maduración pulmonar). Nifedipino 1a línea. Indometacina 2a línea (solo hasta 32 semanas). Corticoides: betametasona 12 mg IM q24h x2 o dexametasona 6 mg IM q12h x4. Neuroprotección: sulfato de magnesio 24-31 semanas. Portadora GBS: penicilina/ampicilina.</w:t>
            </w:r>
          </w:p>
        </w:tc>
      </w:tr>
      <w:tr>
        <w:tc>
          <w:tcPr/>
          <w:p>
            <w:pPr>
              <w:pStyle w:val="Compact"/>
              <w:jc w:val="left"/>
            </w:pPr>
            <w:r>
              <w:rPr>
                <w:bCs/>
                <w:b/>
              </w:rPr>
              <w:t xml:space="preserve">Diagnósticos diferenciales</w:t>
            </w:r>
          </w:p>
        </w:tc>
        <w:tc>
          <w:tcPr/>
          <w:p>
            <w:pPr>
              <w:pStyle w:val="Compact"/>
              <w:jc w:val="left"/>
            </w:pPr>
            <w:r>
              <w:t xml:space="preserve">Trabajo de parto falso (Braxton Hicks), amenaza de parto pretérmino sin cambios cervicales, infección urinaria, apendicitis, desprendimiento placentario, corioamnionitis, preeclampsia.</w:t>
            </w:r>
          </w:p>
        </w:tc>
      </w:tr>
    </w:tbl>
    <w:p>
      <w:pPr>
        <w:pStyle w:val="BodyText"/>
      </w:pPr>
      <w:r>
        <w:rPr>
          <w:bCs/>
          <w:b/>
        </w:rPr>
        <w:t xml:space="preserve">ANTES de ver la respuesta, explica en voz alta por qué elegiste esa opción.</w:t>
      </w:r>
    </w:p>
    <w:p>
      <w:r>
        <w:pict>
          <v:rect style="width:0;height:1.5pt" o:hralign="center" o:hrstd="t" o:hr="t"/>
        </w:pict>
      </w:r>
    </w:p>
    <w:bookmarkEnd w:id="44"/>
    <w:bookmarkStart w:id="45" w:name="pregunta-1-2"/>
    <w:p>
      <w:pPr>
        <w:pStyle w:val="Heading3"/>
      </w:pPr>
      <w:r>
        <w:t xml:space="preserve">Pregunta 1</w:t>
      </w:r>
    </w:p>
    <w:p>
      <w:pPr>
        <w:pStyle w:val="FirstParagraph"/>
      </w:pPr>
      <w:r>
        <w:t xml:space="preserve">Primigesta de 30 semanas con contracciones uterinas cada 7 minutos, borramiento cervical 60%, dilatación 2 cm, membranas intactas. FCF normal.</w:t>
      </w:r>
    </w:p>
    <w:p>
      <w:pPr>
        <w:numPr>
          <w:ilvl w:val="0"/>
          <w:numId w:val="1021"/>
        </w:numPr>
        <w:pStyle w:val="Compact"/>
      </w:pPr>
      <w:r>
        <w:rPr>
          <w:bCs/>
          <w:b/>
        </w:rPr>
        <w:t xml:space="preserve">A.</w:t>
      </w:r>
      <w:r>
        <w:t xml:space="preserve"> </w:t>
      </w:r>
      <w:r>
        <w:t xml:space="preserve">Trabajo de parto falso de Braxton Hicks</w:t>
      </w:r>
    </w:p>
    <w:p>
      <w:pPr>
        <w:numPr>
          <w:ilvl w:val="0"/>
          <w:numId w:val="1021"/>
        </w:numPr>
        <w:pStyle w:val="Compact"/>
      </w:pPr>
      <w:r>
        <w:rPr>
          <w:bCs/>
          <w:b/>
        </w:rPr>
        <w:t xml:space="preserve">B.</w:t>
      </w:r>
      <w:r>
        <w:t xml:space="preserve"> </w:t>
      </w:r>
      <w:r>
        <w:t xml:space="preserve">Trabajo de parto pretérmino</w:t>
      </w:r>
    </w:p>
    <w:p>
      <w:pPr>
        <w:numPr>
          <w:ilvl w:val="0"/>
          <w:numId w:val="1021"/>
        </w:numPr>
        <w:pStyle w:val="Compact"/>
      </w:pPr>
      <w:r>
        <w:rPr>
          <w:bCs/>
          <w:b/>
        </w:rPr>
        <w:t xml:space="preserve">C.</w:t>
      </w:r>
      <w:r>
        <w:t xml:space="preserve"> </w:t>
      </w:r>
      <w:r>
        <w:t xml:space="preserve">Corioamnionitis aguda</w:t>
      </w:r>
    </w:p>
    <w:p>
      <w:pPr>
        <w:numPr>
          <w:ilvl w:val="0"/>
          <w:numId w:val="1021"/>
        </w:numPr>
        <w:pStyle w:val="Compact"/>
      </w:pPr>
      <w:r>
        <w:rPr>
          <w:bCs/>
          <w:b/>
        </w:rPr>
        <w:t xml:space="preserve">D.</w:t>
      </w:r>
      <w:r>
        <w:t xml:space="preserve"> </w:t>
      </w:r>
      <w:r>
        <w:t xml:space="preserve">Desprendimiento placentario</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Contracciones regulares + cambios cervicales (borramiento &gt;80% o dilatación ≥3 cm) a edad gestacional 22-36 semanas definen trabajo de parto pretérmino. Esta paciente tiene borramiento 60% y dilatación 2 cm, pero evolución progresiva sugiere TPPT.</w:t>
      </w:r>
    </w:p>
    <w:p>
      <w:pPr>
        <w:pStyle w:val="BodyText"/>
      </w:pPr>
      <w:r>
        <w:rPr>
          <w:bCs/>
          <w:b/>
        </w:rPr>
        <w:t xml:space="preserve">Sesgo que activa:</w:t>
      </w:r>
      <w:r>
        <w:t xml:space="preserve"> </w:t>
      </w:r>
      <w:r>
        <w:t xml:space="preserve">prevalencia base</w:t>
      </w:r>
    </w:p>
    <w:p>
      <w:r>
        <w:pict>
          <v:rect style="width:0;height:1.5pt" o:hralign="center" o:hrstd="t" o:hr="t"/>
        </w:pict>
      </w:r>
    </w:p>
    <w:bookmarkEnd w:id="45"/>
    <w:bookmarkStart w:id="46" w:name="pregunta-2-2"/>
    <w:p>
      <w:pPr>
        <w:pStyle w:val="Heading3"/>
      </w:pPr>
      <w:r>
        <w:t xml:space="preserve">Pregunta 2</w:t>
      </w:r>
    </w:p>
    <w:p>
      <w:pPr>
        <w:pStyle w:val="FirstParagraph"/>
      </w:pPr>
      <w:r>
        <w:t xml:space="preserve">Gestante de 28 semanas con trabajo de parto pretérmino confirmado, hemodinámicamente estable, sin contraindicaciones. ¿Cuál es el tocolítico de primera línea?</w:t>
      </w:r>
    </w:p>
    <w:p>
      <w:pPr>
        <w:numPr>
          <w:ilvl w:val="0"/>
          <w:numId w:val="1022"/>
        </w:numPr>
        <w:pStyle w:val="Compact"/>
      </w:pPr>
      <w:r>
        <w:rPr>
          <w:bCs/>
          <w:b/>
        </w:rPr>
        <w:t xml:space="preserve">A.</w:t>
      </w:r>
      <w:r>
        <w:t xml:space="preserve"> </w:t>
      </w:r>
      <w:r>
        <w:t xml:space="preserve">Indometacina</w:t>
      </w:r>
    </w:p>
    <w:p>
      <w:pPr>
        <w:numPr>
          <w:ilvl w:val="0"/>
          <w:numId w:val="1022"/>
        </w:numPr>
        <w:pStyle w:val="Compact"/>
      </w:pPr>
      <w:r>
        <w:rPr>
          <w:bCs/>
          <w:b/>
        </w:rPr>
        <w:t xml:space="preserve">B.</w:t>
      </w:r>
      <w:r>
        <w:t xml:space="preserve"> </w:t>
      </w:r>
      <w:r>
        <w:t xml:space="preserve">Nifedipino</w:t>
      </w:r>
    </w:p>
    <w:p>
      <w:pPr>
        <w:numPr>
          <w:ilvl w:val="0"/>
          <w:numId w:val="1022"/>
        </w:numPr>
        <w:pStyle w:val="Compact"/>
      </w:pPr>
      <w:r>
        <w:rPr>
          <w:bCs/>
          <w:b/>
        </w:rPr>
        <w:t xml:space="preserve">C.</w:t>
      </w:r>
      <w:r>
        <w:t xml:space="preserve"> </w:t>
      </w:r>
      <w:r>
        <w:t xml:space="preserve">Ritodrina</w:t>
      </w:r>
    </w:p>
    <w:p>
      <w:pPr>
        <w:numPr>
          <w:ilvl w:val="0"/>
          <w:numId w:val="1022"/>
        </w:numPr>
        <w:pStyle w:val="Compact"/>
      </w:pPr>
      <w:r>
        <w:rPr>
          <w:bCs/>
          <w:b/>
        </w:rPr>
        <w:t xml:space="preserve">D.</w:t>
      </w:r>
      <w:r>
        <w:t xml:space="preserve"> </w:t>
      </w:r>
      <w:r>
        <w:t xml:space="preserve">Atosibán</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Nifedipino es el tocolítico de primera línea preferido en pacientes con manejo oral según la GPC. Indometacina es segunda línea (solo hasta 32 semanas por riesgo de cierre del conducto arterioso).</w:t>
      </w:r>
    </w:p>
    <w:p>
      <w:pPr>
        <w:pStyle w:val="BodyText"/>
      </w:pPr>
      <w:r>
        <w:rPr>
          <w:bCs/>
          <w:b/>
        </w:rPr>
        <w:t xml:space="preserve">Sesgo que activa:</w:t>
      </w:r>
      <w:r>
        <w:t xml:space="preserve"> </w:t>
      </w:r>
      <w:r>
        <w:t xml:space="preserve">disponibilidad</w:t>
      </w:r>
    </w:p>
    <w:p>
      <w:r>
        <w:pict>
          <v:rect style="width:0;height:1.5pt" o:hralign="center" o:hrstd="t" o:hr="t"/>
        </w:pict>
      </w:r>
    </w:p>
    <w:bookmarkEnd w:id="46"/>
    <w:bookmarkStart w:id="47" w:name="pregunta-3-2"/>
    <w:p>
      <w:pPr>
        <w:pStyle w:val="Heading3"/>
      </w:pPr>
      <w:r>
        <w:t xml:space="preserve">Pregunta 3</w:t>
      </w:r>
    </w:p>
    <w:p>
      <w:pPr>
        <w:pStyle w:val="FirstParagraph"/>
      </w:pPr>
      <w:r>
        <w:t xml:space="preserve">Paciente de 26 semanas con trabajo de parto pretérmino inminente. ¿Cuál fármaco está indicado para neuroprotección fetal?</w:t>
      </w:r>
    </w:p>
    <w:p>
      <w:pPr>
        <w:numPr>
          <w:ilvl w:val="0"/>
          <w:numId w:val="1023"/>
        </w:numPr>
        <w:pStyle w:val="Compact"/>
      </w:pPr>
      <w:r>
        <w:rPr>
          <w:bCs/>
          <w:b/>
        </w:rPr>
        <w:t xml:space="preserve">A.</w:t>
      </w:r>
      <w:r>
        <w:t xml:space="preserve"> </w:t>
      </w:r>
      <w:r>
        <w:t xml:space="preserve">Betametasona</w:t>
      </w:r>
    </w:p>
    <w:p>
      <w:pPr>
        <w:numPr>
          <w:ilvl w:val="0"/>
          <w:numId w:val="1023"/>
        </w:numPr>
        <w:pStyle w:val="Compact"/>
      </w:pPr>
      <w:r>
        <w:rPr>
          <w:bCs/>
          <w:b/>
        </w:rPr>
        <w:t xml:space="preserve">B.</w:t>
      </w:r>
      <w:r>
        <w:t xml:space="preserve"> </w:t>
      </w:r>
      <w:r>
        <w:t xml:space="preserve">Dexametasona</w:t>
      </w:r>
    </w:p>
    <w:p>
      <w:pPr>
        <w:numPr>
          <w:ilvl w:val="0"/>
          <w:numId w:val="1023"/>
        </w:numPr>
        <w:pStyle w:val="Compact"/>
      </w:pPr>
      <w:r>
        <w:rPr>
          <w:bCs/>
          <w:b/>
        </w:rPr>
        <w:t xml:space="preserve">C.</w:t>
      </w:r>
      <w:r>
        <w:t xml:space="preserve"> </w:t>
      </w:r>
      <w:r>
        <w:t xml:space="preserve">Sulfato de magnesio</w:t>
      </w:r>
    </w:p>
    <w:p>
      <w:pPr>
        <w:numPr>
          <w:ilvl w:val="0"/>
          <w:numId w:val="1023"/>
        </w:numPr>
        <w:pStyle w:val="Compact"/>
      </w:pPr>
      <w:r>
        <w:rPr>
          <w:bCs/>
          <w:b/>
        </w:rPr>
        <w:t xml:space="preserve">D.</w:t>
      </w:r>
      <w:r>
        <w:t xml:space="preserve"> </w:t>
      </w:r>
      <w:r>
        <w:t xml:space="preserve">Indometacina</w:t>
      </w:r>
    </w:p>
    <w:p>
      <w:pPr>
        <w:pStyle w:val="FirstParagraph"/>
      </w:pPr>
      <w:r>
        <w:rPr>
          <w:bCs/>
          <w:b/>
        </w:rPr>
        <w:t xml:space="preserve">Respuesta correcta:</w:t>
      </w:r>
      <w:r>
        <w:t xml:space="preserve"> </w:t>
      </w:r>
      <w:r>
        <w:t xml:space="preserve">C</w:t>
      </w:r>
    </w:p>
    <w:p>
      <w:pPr>
        <w:pStyle w:val="BodyText"/>
      </w:pPr>
      <w:r>
        <w:rPr>
          <w:bCs/>
          <w:b/>
        </w:rPr>
        <w:t xml:space="preserve">Explicación:</w:t>
      </w:r>
      <w:r>
        <w:t xml:space="preserve"> </w:t>
      </w:r>
      <w:r>
        <w:t xml:space="preserve">El sulfato de magnesio está indicado de las 24 a las 31 semanas (puede considerarse hasta 33.6 semanas) en partos inminentes para neuroprotección fetal y reducción de parálisis cerebral.</w:t>
      </w:r>
    </w:p>
    <w:p>
      <w:pPr>
        <w:pStyle w:val="BodyText"/>
      </w:pPr>
      <w:r>
        <w:rPr>
          <w:bCs/>
          <w:b/>
        </w:rPr>
        <w:t xml:space="preserve">Sesgo que activa:</w:t>
      </w:r>
      <w:r>
        <w:t xml:space="preserve"> </w:t>
      </w:r>
      <w:r>
        <w:t xml:space="preserve">cierre prematuro</w:t>
      </w:r>
    </w:p>
    <w:p>
      <w:r>
        <w:pict>
          <v:rect style="width:0;height:1.5pt" o:hralign="center" o:hrstd="t" o:hr="t"/>
        </w:pict>
      </w:r>
    </w:p>
    <w:bookmarkEnd w:id="47"/>
    <w:bookmarkStart w:id="48" w:name="pregunta-4-2"/>
    <w:p>
      <w:pPr>
        <w:pStyle w:val="Heading3"/>
      </w:pPr>
      <w:r>
        <w:t xml:space="preserve">Pregunta 4</w:t>
      </w:r>
    </w:p>
    <w:p>
      <w:pPr>
        <w:pStyle w:val="FirstParagraph"/>
      </w:pPr>
      <w:r>
        <w:t xml:space="preserve">Mujer de 32 semanas en amenaza de parto pretérmino. Longitud cervical 12 mm, fibronectina fetal positiva. ¿Cuál es la conducta?</w:t>
      </w:r>
    </w:p>
    <w:p>
      <w:pPr>
        <w:numPr>
          <w:ilvl w:val="0"/>
          <w:numId w:val="1024"/>
        </w:numPr>
        <w:pStyle w:val="Compact"/>
      </w:pPr>
      <w:r>
        <w:rPr>
          <w:bCs/>
          <w:b/>
        </w:rPr>
        <w:t xml:space="preserve">A.</w:t>
      </w:r>
      <w:r>
        <w:t xml:space="preserve"> </w:t>
      </w:r>
      <w:r>
        <w:t xml:space="preserve">Tocolisis por 48 horas + corticoides</w:t>
      </w:r>
    </w:p>
    <w:p>
      <w:pPr>
        <w:numPr>
          <w:ilvl w:val="0"/>
          <w:numId w:val="1024"/>
        </w:numPr>
        <w:pStyle w:val="Compact"/>
      </w:pPr>
      <w:r>
        <w:rPr>
          <w:bCs/>
          <w:b/>
        </w:rPr>
        <w:t xml:space="preserve">B.</w:t>
      </w:r>
      <w:r>
        <w:t xml:space="preserve"> </w:t>
      </w:r>
      <w:r>
        <w:t xml:space="preserve">Manejo expectante sin intervención</w:t>
      </w:r>
    </w:p>
    <w:p>
      <w:pPr>
        <w:numPr>
          <w:ilvl w:val="0"/>
          <w:numId w:val="1024"/>
        </w:numPr>
        <w:pStyle w:val="Compact"/>
      </w:pPr>
      <w:r>
        <w:rPr>
          <w:bCs/>
          <w:b/>
        </w:rPr>
        <w:t xml:space="preserve">C.</w:t>
      </w:r>
      <w:r>
        <w:t xml:space="preserve"> </w:t>
      </w:r>
      <w:r>
        <w:t xml:space="preserve">Cesárea de urgencia de inmediato</w:t>
      </w:r>
    </w:p>
    <w:p>
      <w:pPr>
        <w:numPr>
          <w:ilvl w:val="0"/>
          <w:numId w:val="1024"/>
        </w:numPr>
        <w:pStyle w:val="Compact"/>
      </w:pPr>
      <w:r>
        <w:rPr>
          <w:bCs/>
          <w:b/>
        </w:rPr>
        <w:t xml:space="preserve">D.</w:t>
      </w:r>
      <w:r>
        <w:t xml:space="preserve"> </w:t>
      </w:r>
      <w:r>
        <w:t xml:space="preserve">Tocolisis prolongada por 2 semanas</w:t>
      </w:r>
    </w:p>
    <w:p>
      <w:pPr>
        <w:pStyle w:val="FirstParagraph"/>
      </w:pPr>
      <w:r>
        <w:rPr>
          <w:bCs/>
          <w:b/>
        </w:rPr>
        <w:t xml:space="preserve">Respuesta correcta:</w:t>
      </w:r>
      <w:r>
        <w:t xml:space="preserve"> </w:t>
      </w:r>
      <w:r>
        <w:t xml:space="preserve">A</w:t>
      </w:r>
    </w:p>
    <w:p>
      <w:pPr>
        <w:pStyle w:val="BodyText"/>
      </w:pPr>
      <w:r>
        <w:rPr>
          <w:bCs/>
          <w:b/>
        </w:rPr>
        <w:t xml:space="preserve">Explicación:</w:t>
      </w:r>
      <w:r>
        <w:t xml:space="preserve"> </w:t>
      </w:r>
      <w:r>
        <w:t xml:space="preserve">Longitud cervical &lt;15 mm y fibronectina positiva obligan a tocólisis por 48 horas para completar maduración pulmonar fetal con corticoides. Tocolisis prolongada &gt;48h no tiene beneficio demostrado.</w:t>
      </w:r>
    </w:p>
    <w:p>
      <w:pPr>
        <w:pStyle w:val="BodyText"/>
      </w:pPr>
      <w:r>
        <w:rPr>
          <w:bCs/>
          <w:b/>
        </w:rPr>
        <w:t xml:space="preserve">Sesgo que activa:</w:t>
      </w:r>
      <w:r>
        <w:t xml:space="preserve"> </w:t>
      </w:r>
      <w:r>
        <w:t xml:space="preserve">prevalencia base</w:t>
      </w:r>
    </w:p>
    <w:p>
      <w:r>
        <w:pict>
          <v:rect style="width:0;height:1.5pt" o:hralign="center" o:hrstd="t" o:hr="t"/>
        </w:pict>
      </w:r>
    </w:p>
    <w:bookmarkEnd w:id="48"/>
    <w:bookmarkStart w:id="49" w:name="pregunta-5-2"/>
    <w:p>
      <w:pPr>
        <w:pStyle w:val="Heading3"/>
      </w:pPr>
      <w:r>
        <w:t xml:space="preserve">Pregunta 5</w:t>
      </w:r>
    </w:p>
    <w:p>
      <w:pPr>
        <w:pStyle w:val="FirstParagraph"/>
      </w:pPr>
      <w:r>
        <w:t xml:space="preserve">Gestante de 34 semanas con trabajo de parto pretérmino, portadora de Streptococcus β-hemolítico del grupo B. ¿Qué antibiótico está indicado?</w:t>
      </w:r>
    </w:p>
    <w:p>
      <w:pPr>
        <w:numPr>
          <w:ilvl w:val="0"/>
          <w:numId w:val="1025"/>
        </w:numPr>
        <w:pStyle w:val="Compact"/>
      </w:pPr>
      <w:r>
        <w:rPr>
          <w:bCs/>
          <w:b/>
        </w:rPr>
        <w:t xml:space="preserve">A.</w:t>
      </w:r>
      <w:r>
        <w:t xml:space="preserve"> </w:t>
      </w:r>
      <w:r>
        <w:t xml:space="preserve">Azitromicina</w:t>
      </w:r>
    </w:p>
    <w:p>
      <w:pPr>
        <w:numPr>
          <w:ilvl w:val="0"/>
          <w:numId w:val="1025"/>
        </w:numPr>
        <w:pStyle w:val="Compact"/>
      </w:pPr>
      <w:r>
        <w:rPr>
          <w:bCs/>
          <w:b/>
        </w:rPr>
        <w:t xml:space="preserve">B.</w:t>
      </w:r>
      <w:r>
        <w:t xml:space="preserve"> </w:t>
      </w:r>
      <w:r>
        <w:t xml:space="preserve">Metronidazol</w:t>
      </w:r>
    </w:p>
    <w:p>
      <w:pPr>
        <w:numPr>
          <w:ilvl w:val="0"/>
          <w:numId w:val="1025"/>
        </w:numPr>
        <w:pStyle w:val="Compact"/>
      </w:pPr>
      <w:r>
        <w:rPr>
          <w:bCs/>
          <w:b/>
        </w:rPr>
        <w:t xml:space="preserve">C.</w:t>
      </w:r>
      <w:r>
        <w:t xml:space="preserve"> </w:t>
      </w:r>
      <w:r>
        <w:t xml:space="preserve">Penicilina G o ampicilina</w:t>
      </w:r>
    </w:p>
    <w:p>
      <w:pPr>
        <w:numPr>
          <w:ilvl w:val="0"/>
          <w:numId w:val="1025"/>
        </w:numPr>
        <w:pStyle w:val="Compact"/>
      </w:pPr>
      <w:r>
        <w:rPr>
          <w:bCs/>
          <w:b/>
        </w:rPr>
        <w:t xml:space="preserve">D.</w:t>
      </w:r>
      <w:r>
        <w:t xml:space="preserve"> </w:t>
      </w:r>
      <w:r>
        <w:t xml:space="preserve">Gentamicina</w:t>
      </w:r>
    </w:p>
    <w:p>
      <w:pPr>
        <w:pStyle w:val="FirstParagraph"/>
      </w:pPr>
      <w:r>
        <w:rPr>
          <w:bCs/>
          <w:b/>
        </w:rPr>
        <w:t xml:space="preserve">Respuesta correcta:</w:t>
      </w:r>
      <w:r>
        <w:t xml:space="preserve"> </w:t>
      </w:r>
      <w:r>
        <w:t xml:space="preserve">C</w:t>
      </w:r>
    </w:p>
    <w:p>
      <w:pPr>
        <w:pStyle w:val="BodyText"/>
      </w:pPr>
      <w:r>
        <w:rPr>
          <w:bCs/>
          <w:b/>
        </w:rPr>
        <w:t xml:space="preserve">Explicación:</w:t>
      </w:r>
      <w:r>
        <w:t xml:space="preserve"> </w:t>
      </w:r>
      <w:r>
        <w:t xml:space="preserve">En pacientes portadoras de GBS con parto pretérmino inminente, se indica penicilina G o ampicilina para profilaxis de infección neonatal por estreptococo del grupo B.</w:t>
      </w:r>
    </w:p>
    <w:p>
      <w:pPr>
        <w:pStyle w:val="BodyText"/>
      </w:pPr>
      <w:r>
        <w:rPr>
          <w:bCs/>
          <w:b/>
        </w:rPr>
        <w:t xml:space="preserve">Sesgo que activa:</w:t>
      </w:r>
      <w:r>
        <w:t xml:space="preserve"> </w:t>
      </w:r>
      <w:r>
        <w:t xml:space="preserve">disponibilidad</w:t>
      </w:r>
    </w:p>
    <w:p>
      <w:r>
        <w:pict>
          <v:rect style="width:0;height:1.5pt" o:hralign="center" o:hrstd="t" o:hr="t"/>
        </w:pict>
      </w:r>
    </w:p>
    <w:bookmarkEnd w:id="49"/>
    <w:bookmarkStart w:id="50" w:name="pregunta-6-2"/>
    <w:p>
      <w:pPr>
        <w:pStyle w:val="Heading3"/>
      </w:pPr>
      <w:r>
        <w:t xml:space="preserve">Pregunta 6</w:t>
      </w:r>
    </w:p>
    <w:p>
      <w:pPr>
        <w:pStyle w:val="FirstParagraph"/>
      </w:pPr>
      <w:r>
        <w:t xml:space="preserve">Paciente de 29 semanas con trabajo de parto pretérmino. ¿Cuál es una contraindicación absoluta para tocólisis?</w:t>
      </w:r>
    </w:p>
    <w:p>
      <w:pPr>
        <w:numPr>
          <w:ilvl w:val="0"/>
          <w:numId w:val="1026"/>
        </w:numPr>
        <w:pStyle w:val="Compact"/>
      </w:pPr>
      <w:r>
        <w:rPr>
          <w:bCs/>
          <w:b/>
        </w:rPr>
        <w:t xml:space="preserve">A.</w:t>
      </w:r>
      <w:r>
        <w:t xml:space="preserve"> </w:t>
      </w:r>
      <w:r>
        <w:t xml:space="preserve">Dilatación cervical de 3 cm</w:t>
      </w:r>
    </w:p>
    <w:p>
      <w:pPr>
        <w:numPr>
          <w:ilvl w:val="0"/>
          <w:numId w:val="1026"/>
        </w:numPr>
        <w:pStyle w:val="Compact"/>
      </w:pPr>
      <w:r>
        <w:rPr>
          <w:bCs/>
          <w:b/>
        </w:rPr>
        <w:t xml:space="preserve">B.</w:t>
      </w:r>
      <w:r>
        <w:t xml:space="preserve"> </w:t>
      </w:r>
      <w:r>
        <w:t xml:space="preserve">Preeclampsia severa</w:t>
      </w:r>
    </w:p>
    <w:p>
      <w:pPr>
        <w:numPr>
          <w:ilvl w:val="0"/>
          <w:numId w:val="1026"/>
        </w:numPr>
        <w:pStyle w:val="Compact"/>
      </w:pPr>
      <w:r>
        <w:rPr>
          <w:bCs/>
          <w:b/>
        </w:rPr>
        <w:t xml:space="preserve">C.</w:t>
      </w:r>
      <w:r>
        <w:t xml:space="preserve"> </w:t>
      </w:r>
      <w:r>
        <w:t xml:space="preserve">Primigesta</w:t>
      </w:r>
    </w:p>
    <w:p>
      <w:pPr>
        <w:numPr>
          <w:ilvl w:val="0"/>
          <w:numId w:val="1026"/>
        </w:numPr>
        <w:pStyle w:val="Compact"/>
      </w:pPr>
      <w:r>
        <w:rPr>
          <w:bCs/>
          <w:b/>
        </w:rPr>
        <w:t xml:space="preserve">D.</w:t>
      </w:r>
      <w:r>
        <w:t xml:space="preserve"> </w:t>
      </w:r>
      <w:r>
        <w:t xml:space="preserve">Embarazo gemelar</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Contraindicaciones para tocólisis: preeclampsia severa, sangrado placentario, desprendimiento placentario, corioamnionitis, restricción del crecimiento fetal, anomalías fetales incompatibles con vida, muerte fetal.</w:t>
      </w:r>
    </w:p>
    <w:p>
      <w:pPr>
        <w:pStyle w:val="BodyText"/>
      </w:pPr>
      <w:r>
        <w:rPr>
          <w:bCs/>
          <w:b/>
        </w:rPr>
        <w:t xml:space="preserve">Sesgo que activa:</w:t>
      </w:r>
      <w:r>
        <w:t xml:space="preserve"> </w:t>
      </w:r>
      <w:r>
        <w:t xml:space="preserve">prevalencia base</w:t>
      </w:r>
    </w:p>
    <w:p>
      <w:r>
        <w:pict>
          <v:rect style="width:0;height:1.5pt" o:hralign="center" o:hrstd="t" o:hr="t"/>
        </w:pict>
      </w:r>
    </w:p>
    <w:bookmarkEnd w:id="50"/>
    <w:bookmarkStart w:id="51" w:name="pregunta-7-2"/>
    <w:p>
      <w:pPr>
        <w:pStyle w:val="Heading3"/>
      </w:pPr>
      <w:r>
        <w:t xml:space="preserve">Pregunta 7</w:t>
      </w:r>
    </w:p>
    <w:p>
      <w:pPr>
        <w:pStyle w:val="FirstParagraph"/>
      </w:pPr>
      <w:r>
        <w:t xml:space="preserve">Mujer de 27 semanas, antecedente de parto pretérmino a las 30 semanas. Actual embarazo de 22 semanas. ¿Cuál prueba predictiva está indicada?</w:t>
      </w:r>
    </w:p>
    <w:p>
      <w:pPr>
        <w:numPr>
          <w:ilvl w:val="0"/>
          <w:numId w:val="1027"/>
        </w:numPr>
        <w:pStyle w:val="Compact"/>
      </w:pPr>
      <w:r>
        <w:rPr>
          <w:bCs/>
          <w:b/>
        </w:rPr>
        <w:t xml:space="preserve">A.</w:t>
      </w:r>
      <w:r>
        <w:t xml:space="preserve"> </w:t>
      </w:r>
      <w:r>
        <w:t xml:space="preserve">Fibronectina fetal semanal desde ahora</w:t>
      </w:r>
    </w:p>
    <w:p>
      <w:pPr>
        <w:numPr>
          <w:ilvl w:val="0"/>
          <w:numId w:val="1027"/>
        </w:numPr>
        <w:pStyle w:val="Compact"/>
      </w:pPr>
      <w:r>
        <w:rPr>
          <w:bCs/>
          <w:b/>
        </w:rPr>
        <w:t xml:space="preserve">B.</w:t>
      </w:r>
      <w:r>
        <w:t xml:space="preserve"> </w:t>
      </w:r>
      <w:r>
        <w:t xml:space="preserve">Evaluación de longitud cervical a las 20-34 semanas</w:t>
      </w:r>
    </w:p>
    <w:p>
      <w:pPr>
        <w:numPr>
          <w:ilvl w:val="0"/>
          <w:numId w:val="1027"/>
        </w:numPr>
        <w:pStyle w:val="Compact"/>
      </w:pPr>
      <w:r>
        <w:rPr>
          <w:bCs/>
          <w:b/>
        </w:rPr>
        <w:t xml:space="preserve">C.</w:t>
      </w:r>
      <w:r>
        <w:t xml:space="preserve"> </w:t>
      </w:r>
      <w:r>
        <w:t xml:space="preserve">Amniocentesis de rutina</w:t>
      </w:r>
    </w:p>
    <w:p>
      <w:pPr>
        <w:numPr>
          <w:ilvl w:val="0"/>
          <w:numId w:val="1027"/>
        </w:numPr>
        <w:pStyle w:val="Compact"/>
      </w:pPr>
      <w:r>
        <w:rPr>
          <w:bCs/>
          <w:b/>
        </w:rPr>
        <w:t xml:space="preserve">D.</w:t>
      </w:r>
      <w:r>
        <w:t xml:space="preserve"> </w:t>
      </w:r>
      <w:r>
        <w:t xml:space="preserve">No requiere vigilancia especial</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En pacientes con antecedente de parto pretérmino, se recomienda evaluación de longitud cervical a las 20-34 semanas. Longitud &lt;15 mm o fibronectina positiva obligan seguimiento estrecho y posible tocólisis.</w:t>
      </w:r>
    </w:p>
    <w:p>
      <w:pPr>
        <w:pStyle w:val="BodyText"/>
      </w:pPr>
      <w:r>
        <w:rPr>
          <w:bCs/>
          <w:b/>
        </w:rPr>
        <w:t xml:space="preserve">Sesgo que activa:</w:t>
      </w:r>
      <w:r>
        <w:t xml:space="preserve"> </w:t>
      </w:r>
      <w:r>
        <w:t xml:space="preserve">cierre prematuro</w:t>
      </w:r>
    </w:p>
    <w:p>
      <w:r>
        <w:pict>
          <v:rect style="width:0;height:1.5pt" o:hralign="center" o:hrstd="t" o:hr="t"/>
        </w:pict>
      </w:r>
    </w:p>
    <w:bookmarkEnd w:id="51"/>
    <w:bookmarkStart w:id="52" w:name="pregunta-8-2"/>
    <w:p>
      <w:pPr>
        <w:pStyle w:val="Heading3"/>
      </w:pPr>
      <w:r>
        <w:t xml:space="preserve">Pregunta 8</w:t>
      </w:r>
    </w:p>
    <w:p>
      <w:pPr>
        <w:pStyle w:val="FirstParagraph"/>
      </w:pPr>
      <w:r>
        <w:t xml:space="preserve">Gestante de 25 semanas con rotura prematura de membranas y trabajo de parto. ¿Cuál es el límite inferior de viabilidad potencial con atención neonatal moderna?</w:t>
      </w:r>
    </w:p>
    <w:p>
      <w:pPr>
        <w:numPr>
          <w:ilvl w:val="0"/>
          <w:numId w:val="1028"/>
        </w:numPr>
        <w:pStyle w:val="Compact"/>
      </w:pPr>
      <w:r>
        <w:rPr>
          <w:bCs/>
          <w:b/>
        </w:rPr>
        <w:t xml:space="preserve">A.</w:t>
      </w:r>
      <w:r>
        <w:t xml:space="preserve"> </w:t>
      </w:r>
      <w:r>
        <w:t xml:space="preserve">20 semanas o 400 g</w:t>
      </w:r>
    </w:p>
    <w:p>
      <w:pPr>
        <w:numPr>
          <w:ilvl w:val="0"/>
          <w:numId w:val="1028"/>
        </w:numPr>
        <w:pStyle w:val="Compact"/>
      </w:pPr>
      <w:r>
        <w:rPr>
          <w:bCs/>
          <w:b/>
        </w:rPr>
        <w:t xml:space="preserve">B.</w:t>
      </w:r>
      <w:r>
        <w:t xml:space="preserve"> </w:t>
      </w:r>
      <w:r>
        <w:t xml:space="preserve">23 semanas o 500-1000 g</w:t>
      </w:r>
    </w:p>
    <w:p>
      <w:pPr>
        <w:numPr>
          <w:ilvl w:val="0"/>
          <w:numId w:val="1028"/>
        </w:numPr>
        <w:pStyle w:val="Compact"/>
      </w:pPr>
      <w:r>
        <w:rPr>
          <w:bCs/>
          <w:b/>
        </w:rPr>
        <w:t xml:space="preserve">C.</w:t>
      </w:r>
      <w:r>
        <w:t xml:space="preserve"> </w:t>
      </w:r>
      <w:r>
        <w:t xml:space="preserve">28 semanas o 1000 g</w:t>
      </w:r>
    </w:p>
    <w:p>
      <w:pPr>
        <w:numPr>
          <w:ilvl w:val="0"/>
          <w:numId w:val="1028"/>
        </w:numPr>
        <w:pStyle w:val="Compact"/>
      </w:pPr>
      <w:r>
        <w:rPr>
          <w:bCs/>
          <w:b/>
        </w:rPr>
        <w:t xml:space="preserve">D.</w:t>
      </w:r>
      <w:r>
        <w:t xml:space="preserve"> </w:t>
      </w:r>
      <w:r>
        <w:t xml:space="preserve">32 semanas o 1500 g</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La atención neonatal moderna ha logrado que el límite inferior de viabilidad potencial sea de 23 semanas o 500-1000 g. A esta edad gestacional se prefiere vía vaginal en presentación de vértice.</w:t>
      </w:r>
    </w:p>
    <w:p>
      <w:pPr>
        <w:pStyle w:val="BodyText"/>
      </w:pPr>
      <w:r>
        <w:rPr>
          <w:bCs/>
          <w:b/>
        </w:rPr>
        <w:t xml:space="preserve">Sesgo que activa:</w:t>
      </w:r>
      <w:r>
        <w:t xml:space="preserve"> </w:t>
      </w:r>
      <w:r>
        <w:t xml:space="preserve">disponibilidad</w:t>
      </w:r>
    </w:p>
    <w:p>
      <w:r>
        <w:pict>
          <v:rect style="width:0;height:1.5pt" o:hralign="center" o:hrstd="t" o:hr="t"/>
        </w:pict>
      </w:r>
    </w:p>
    <w:bookmarkEnd w:id="52"/>
    <w:bookmarkStart w:id="53" w:name="pregunta-9-2"/>
    <w:p>
      <w:pPr>
        <w:pStyle w:val="Heading3"/>
      </w:pPr>
      <w:r>
        <w:t xml:space="preserve">Pregunta 9</w:t>
      </w:r>
    </w:p>
    <w:p>
      <w:pPr>
        <w:pStyle w:val="FirstParagraph"/>
      </w:pPr>
      <w:r>
        <w:t xml:space="preserve">Mujer de 31 semanas en trabajo de parto pretérmino, presentación pélvica, peso fetal estimado 1400 g. ¿Cuál es la vía de nacimiento recomendada?</w:t>
      </w:r>
    </w:p>
    <w:p>
      <w:pPr>
        <w:numPr>
          <w:ilvl w:val="0"/>
          <w:numId w:val="1029"/>
        </w:numPr>
        <w:pStyle w:val="Compact"/>
      </w:pPr>
      <w:r>
        <w:rPr>
          <w:bCs/>
          <w:b/>
        </w:rPr>
        <w:t xml:space="preserve">A.</w:t>
      </w:r>
      <w:r>
        <w:t xml:space="preserve"> </w:t>
      </w:r>
      <w:r>
        <w:t xml:space="preserve">Parto vaginal con asistencia</w:t>
      </w:r>
    </w:p>
    <w:p>
      <w:pPr>
        <w:numPr>
          <w:ilvl w:val="0"/>
          <w:numId w:val="1029"/>
        </w:numPr>
        <w:pStyle w:val="Compact"/>
      </w:pPr>
      <w:r>
        <w:rPr>
          <w:bCs/>
          <w:b/>
        </w:rPr>
        <w:t xml:space="preserve">B.</w:t>
      </w:r>
      <w:r>
        <w:t xml:space="preserve"> </w:t>
      </w:r>
      <w:r>
        <w:t xml:space="preserve">Cesárea</w:t>
      </w:r>
    </w:p>
    <w:p>
      <w:pPr>
        <w:numPr>
          <w:ilvl w:val="0"/>
          <w:numId w:val="1029"/>
        </w:numPr>
        <w:pStyle w:val="Compact"/>
      </w:pPr>
      <w:r>
        <w:rPr>
          <w:bCs/>
          <w:b/>
        </w:rPr>
        <w:t xml:space="preserve">C.</w:t>
      </w:r>
      <w:r>
        <w:t xml:space="preserve"> </w:t>
      </w:r>
      <w:r>
        <w:t xml:space="preserve">Versión cefálica externa de inmediato</w:t>
      </w:r>
    </w:p>
    <w:p>
      <w:pPr>
        <w:numPr>
          <w:ilvl w:val="0"/>
          <w:numId w:val="1029"/>
        </w:numPr>
        <w:pStyle w:val="Compact"/>
      </w:pPr>
      <w:r>
        <w:rPr>
          <w:bCs/>
          <w:b/>
        </w:rPr>
        <w:t xml:space="preserve">D.</w:t>
      </w:r>
      <w:r>
        <w:t xml:space="preserve"> </w:t>
      </w:r>
      <w:r>
        <w:t xml:space="preserve">Fórceps en presentación de nalgas</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En presentación pélvica con peso &lt;1500 g, el resultado neonatal mejora con cesárea. En presentación de vértice se prefiere parto vaginal. VCE no está indicada en trabajo de parto activo.</w:t>
      </w:r>
    </w:p>
    <w:p>
      <w:pPr>
        <w:pStyle w:val="BodyText"/>
      </w:pPr>
      <w:r>
        <w:rPr>
          <w:bCs/>
          <w:b/>
        </w:rPr>
        <w:t xml:space="preserve">Sesgo que activa:</w:t>
      </w:r>
      <w:r>
        <w:t xml:space="preserve"> </w:t>
      </w:r>
      <w:r>
        <w:t xml:space="preserve">prevalencia base</w:t>
      </w:r>
    </w:p>
    <w:p>
      <w:r>
        <w:pict>
          <v:rect style="width:0;height:1.5pt" o:hralign="center" o:hrstd="t" o:hr="t"/>
        </w:pict>
      </w:r>
    </w:p>
    <w:bookmarkEnd w:id="53"/>
    <w:bookmarkStart w:id="54" w:name="pregunta-10-2"/>
    <w:p>
      <w:pPr>
        <w:pStyle w:val="Heading3"/>
      </w:pPr>
      <w:r>
        <w:t xml:space="preserve">Pregunta 10</w:t>
      </w:r>
    </w:p>
    <w:p>
      <w:pPr>
        <w:pStyle w:val="FirstParagraph"/>
      </w:pPr>
      <w:r>
        <w:t xml:space="preserve">Paciente de 30 semanas recibió betametasona completo hace 5 días. Reingresa con trabajo de parto pretérmino. ¿Se puede repetir la dosis de corticoides?</w:t>
      </w:r>
    </w:p>
    <w:p>
      <w:pPr>
        <w:numPr>
          <w:ilvl w:val="0"/>
          <w:numId w:val="1030"/>
        </w:numPr>
        <w:pStyle w:val="Compact"/>
      </w:pPr>
      <w:r>
        <w:rPr>
          <w:bCs/>
          <w:b/>
        </w:rPr>
        <w:t xml:space="preserve">A.</w:t>
      </w:r>
      <w:r>
        <w:t xml:space="preserve"> </w:t>
      </w:r>
      <w:r>
        <w:t xml:space="preserve">Sí, siempre que sea antes de las 34 semanas</w:t>
      </w:r>
    </w:p>
    <w:p>
      <w:pPr>
        <w:numPr>
          <w:ilvl w:val="0"/>
          <w:numId w:val="1030"/>
        </w:numPr>
        <w:pStyle w:val="Compact"/>
      </w:pPr>
      <w:r>
        <w:rPr>
          <w:bCs/>
          <w:b/>
        </w:rPr>
        <w:t xml:space="preserve">B.</w:t>
      </w:r>
      <w:r>
        <w:t xml:space="preserve"> </w:t>
      </w:r>
      <w:r>
        <w:t xml:space="preserve">No, una vez completado el curso no se repite</w:t>
      </w:r>
    </w:p>
    <w:p>
      <w:pPr>
        <w:numPr>
          <w:ilvl w:val="0"/>
          <w:numId w:val="1030"/>
        </w:numPr>
        <w:pStyle w:val="Compact"/>
      </w:pPr>
      <w:r>
        <w:rPr>
          <w:bCs/>
          <w:b/>
        </w:rPr>
        <w:t xml:space="preserve">C.</w:t>
      </w:r>
      <w:r>
        <w:t xml:space="preserve"> </w:t>
      </w:r>
      <w:r>
        <w:t xml:space="preserve">Solo si han pasado más de 7 días</w:t>
      </w:r>
    </w:p>
    <w:p>
      <w:pPr>
        <w:numPr>
          <w:ilvl w:val="0"/>
          <w:numId w:val="1030"/>
        </w:numPr>
        <w:pStyle w:val="Compact"/>
      </w:pPr>
      <w:r>
        <w:rPr>
          <w:bCs/>
          <w:b/>
        </w:rPr>
        <w:t xml:space="preserve">D.</w:t>
      </w:r>
      <w:r>
        <w:t xml:space="preserve"> </w:t>
      </w:r>
      <w:r>
        <w:t xml:space="preserve">Solo en embarazos múltiples</w:t>
      </w:r>
    </w:p>
    <w:p>
      <w:pPr>
        <w:pStyle w:val="FirstParagraph"/>
      </w:pPr>
      <w:r>
        <w:rPr>
          <w:bCs/>
          <w:b/>
        </w:rPr>
        <w:t xml:space="preserve">Respuesta correcta:</w:t>
      </w:r>
      <w:r>
        <w:t xml:space="preserve"> </w:t>
      </w:r>
      <w:r>
        <w:t xml:space="preserve">B</w:t>
      </w:r>
    </w:p>
    <w:p>
      <w:pPr>
        <w:pStyle w:val="BodyText"/>
      </w:pPr>
      <w:r>
        <w:rPr>
          <w:bCs/>
          <w:b/>
        </w:rPr>
        <w:t xml:space="preserve">Explicación:</w:t>
      </w:r>
      <w:r>
        <w:t xml:space="preserve"> </w:t>
      </w:r>
      <w:r>
        <w:t xml:space="preserve">Según la mayoría de guías, un curso completo de corticoides para maduración pulmonar no debe repetirse rutinariamente. Algunas guías permiten un curso rescue si pasaron &gt;7 días y &lt;34 semanas, pero no es práctica estándar universal.</w:t>
      </w:r>
    </w:p>
    <w:p>
      <w:pPr>
        <w:pStyle w:val="BodyText"/>
      </w:pPr>
      <w:r>
        <w:rPr>
          <w:bCs/>
          <w:b/>
        </w:rPr>
        <w:t xml:space="preserve">Sesgo que activa:</w:t>
      </w:r>
      <w:r>
        <w:t xml:space="preserve"> </w:t>
      </w:r>
      <w:r>
        <w:t xml:space="preserve">anclaje</w:t>
      </w:r>
    </w:p>
    <w:p>
      <w:r>
        <w:pict>
          <v:rect style="width:0;height:1.5pt" o:hralign="center" o:hrstd="t" o:hr="t"/>
        </w:pict>
      </w:r>
    </w:p>
    <w:bookmarkEnd w:id="54"/>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2026-07-16T00:48:36Z</dcterms:created>
  <dcterms:modified xsi:type="dcterms:W3CDTF">2026-07-16T00:48:36Z</dcterms:modified>
</cp:coreProperties>
</file>

<file path=docProps/custom.xml><?xml version="1.0" encoding="utf-8"?>
<Properties xmlns="http://schemas.openxmlformats.org/officeDocument/2006/custom-properties" xmlns:vt="http://schemas.openxmlformats.org/officeDocument/2006/docPropsVTypes"/>
</file>