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8"/>
        </w:rPr>
        <w:t>Entrenamiento ENARM — Martes 28 de julio 2026 (Mañana) — Gineco-Obstetricia</w:t>
      </w:r>
    </w:p>
    <w:p/>
    <w:p>
      <w:pPr>
        <w:pStyle w:val="Heading1"/>
      </w:pPr>
      <w:r>
        <w:rPr>
          <w:rFonts w:ascii="Arial" w:hAnsi="Arial" w:eastAsia="Arial"/>
          <w:sz w:val="28"/>
        </w:rPr>
        <w:t>Neoplasias Ováricas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Neoplasias Ováricas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Primera causa de muerte por cáncer ginecológico en países desarrollados. Edad media 60 años. 80-85% epiteliales. En México: sexta neoplasia en incidencia (4%).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Curso asintomático hasta estadios avanzados. 70% se diagnostican en estadios III-IV. Crecimiento lento en mucinosos; rápido en carcinomas embrionarios/sacovitelino.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Origen epitelial (80-85%), de células germinales (jóvenes) o estromales. Mutaciones KRAS/BRAF (tipo I, grado bajo) vs TP53 (tipo II, grado alto). Diseminación transcelómica, linfática y hematógena.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Distensión abdominal, saciedad precoz, ascitis, masa pélvica fija, derrame pleural (10%). Ganglio de Sister Mary Joseph (periumbilical).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Ultrasonido transvaginal inicial. CA-125 elevado en 80% serosos. Laparotomía exploradora con citorreducción para confirmación y tratamiento. Estadificación FIGO I-IV.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Histerectomía + salpingooforectomía bilateral + omentectomía + linfadenectomía. Quimioterapia adyuvante: paclitaxel + carboplatino. Quimioterapia intraperitoneal en estadios avanzados resecables.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Quistes funcionales, endometrioma, miomatosis subserosa, embarazo ectópico, tuberculosis peritoneal, cáncer de colon metastásico, tumor de Krukenberg.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62 años, distensión abdominal progresiva, saciedad precoz y ascitis de 2 meses. Exploración: masa pélvica fija y nodular. ¿Cuál es el diagnóstico más probable?</w:t>
      </w:r>
    </w:p>
    <w:p>
      <w:r>
        <w:rPr>
          <w:rFonts w:ascii="Arial" w:hAnsi="Arial" w:eastAsia="Arial"/>
          <w:b w:val="0"/>
          <w:i w:val="0"/>
          <w:sz w:val="24"/>
        </w:rPr>
        <w:t>A) Cirrosis hepática</w:t>
      </w:r>
    </w:p>
    <w:p>
      <w:r>
        <w:rPr>
          <w:rFonts w:ascii="Arial" w:hAnsi="Arial" w:eastAsia="Arial"/>
          <w:b w:val="0"/>
          <w:i w:val="0"/>
          <w:sz w:val="24"/>
        </w:rPr>
        <w:t>B) Neoplasia ovárica epitelial avanzada</w:t>
      </w:r>
    </w:p>
    <w:p>
      <w:r>
        <w:rPr>
          <w:rFonts w:ascii="Arial" w:hAnsi="Arial" w:eastAsia="Arial"/>
          <w:b w:val="0"/>
          <w:i w:val="0"/>
          <w:sz w:val="24"/>
        </w:rPr>
        <w:t>C) Enfermedad inflamatoria pélvica crónica</w:t>
      </w:r>
    </w:p>
    <w:p>
      <w:r>
        <w:rPr>
          <w:rFonts w:ascii="Arial" w:hAnsi="Arial" w:eastAsia="Arial"/>
          <w:b w:val="0"/>
          <w:i w:val="0"/>
          <w:sz w:val="24"/>
        </w:rPr>
        <w:t>D) Embarazo múltiple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triada de distensión, saciedad precoz y ascitis en mujer posmenopáusica es muy sugestiva de cáncer ovárico avanzado.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Paciente de 35 años, tumor ovárico de 8 cm, unilateral, quístico con componente sólido. Marcador CA-125 45 U/mL. ¿Cuál es el estudio de imagen inicial recomendado?</w:t>
      </w:r>
    </w:p>
    <w:p>
      <w:r>
        <w:rPr>
          <w:rFonts w:ascii="Arial" w:hAnsi="Arial" w:eastAsia="Arial"/>
          <w:b w:val="0"/>
          <w:i w:val="0"/>
          <w:sz w:val="24"/>
        </w:rPr>
        <w:t>A) Tomografía computarizada de abdomen y pelvis</w:t>
      </w:r>
    </w:p>
    <w:p>
      <w:r>
        <w:rPr>
          <w:rFonts w:ascii="Arial" w:hAnsi="Arial" w:eastAsia="Arial"/>
          <w:b w:val="0"/>
          <w:i w:val="0"/>
          <w:sz w:val="24"/>
        </w:rPr>
        <w:t>B) Ultrasonido transvaginal</w:t>
      </w:r>
    </w:p>
    <w:p>
      <w:r>
        <w:rPr>
          <w:rFonts w:ascii="Arial" w:hAnsi="Arial" w:eastAsia="Arial"/>
          <w:b w:val="0"/>
          <w:i w:val="0"/>
          <w:sz w:val="24"/>
        </w:rPr>
        <w:t>C) Resonancia magnética pélvica</w:t>
      </w:r>
    </w:p>
    <w:p>
      <w:r>
        <w:rPr>
          <w:rFonts w:ascii="Arial" w:hAnsi="Arial" w:eastAsia="Arial"/>
          <w:b w:val="0"/>
          <w:i w:val="0"/>
          <w:sz w:val="24"/>
        </w:rPr>
        <w:t>D) PET-CT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ultrasonido transvaginal es el estudio de imagen inicial recomendado ante sospecha de masa ovárica.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55 años, carcinoma seroso papilar de ovario estadio IIIC. Cirugía citorreductora óptima (residuo &lt;1 cm). ¿Cuál es el siguiente paso?</w:t>
      </w:r>
    </w:p>
    <w:p>
      <w:r>
        <w:rPr>
          <w:rFonts w:ascii="Arial" w:hAnsi="Arial" w:eastAsia="Arial"/>
          <w:b w:val="0"/>
          <w:i w:val="0"/>
          <w:sz w:val="24"/>
        </w:rPr>
        <w:t>A) Solo seguimiento</w:t>
      </w:r>
    </w:p>
    <w:p>
      <w:r>
        <w:rPr>
          <w:rFonts w:ascii="Arial" w:hAnsi="Arial" w:eastAsia="Arial"/>
          <w:b w:val="0"/>
          <w:i w:val="0"/>
          <w:sz w:val="24"/>
        </w:rPr>
        <w:t>B) Quimioterapia adyuvante con paclitaxel + carboplatino</w:t>
      </w:r>
    </w:p>
    <w:p>
      <w:r>
        <w:rPr>
          <w:rFonts w:ascii="Arial" w:hAnsi="Arial" w:eastAsia="Arial"/>
          <w:b w:val="0"/>
          <w:i w:val="0"/>
          <w:sz w:val="24"/>
        </w:rPr>
        <w:t>C) Radioterapia pélvica exclusiva</w:t>
      </w:r>
    </w:p>
    <w:p>
      <w:r>
        <w:rPr>
          <w:rFonts w:ascii="Arial" w:hAnsi="Arial" w:eastAsia="Arial"/>
          <w:b w:val="0"/>
          <w:i w:val="0"/>
          <w:sz w:val="24"/>
        </w:rPr>
        <w:t>D) Hormonoterapia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estadios avanzados resecables, la quimioterapia adyuvante con paclitaxel + carboplatino es estándar.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de 20 años, dolor abdominal agudo, masa anexial de 10 cm. Biopsia: cuerpos de Schiller-Duval. αFP elevado.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Carcinoma seroso</w:t>
      </w:r>
    </w:p>
    <w:p>
      <w:r>
        <w:rPr>
          <w:rFonts w:ascii="Arial" w:hAnsi="Arial" w:eastAsia="Arial"/>
          <w:b w:val="0"/>
          <w:i w:val="0"/>
          <w:sz w:val="24"/>
        </w:rPr>
        <w:t>B) Tumor del seno endodérmico</w:t>
      </w:r>
    </w:p>
    <w:p>
      <w:r>
        <w:rPr>
          <w:rFonts w:ascii="Arial" w:hAnsi="Arial" w:eastAsia="Arial"/>
          <w:b w:val="0"/>
          <w:i w:val="0"/>
          <w:sz w:val="24"/>
        </w:rPr>
        <w:t>C) Disgerminoma</w:t>
      </w:r>
    </w:p>
    <w:p>
      <w:r>
        <w:rPr>
          <w:rFonts w:ascii="Arial" w:hAnsi="Arial" w:eastAsia="Arial"/>
          <w:b w:val="0"/>
          <w:i w:val="0"/>
          <w:sz w:val="24"/>
        </w:rPr>
        <w:t>D) Teratoma maduro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Cuerpos de Schiller-Duval y αFP elevado son característicos del tumor del seno endodérmico.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50 años, metástasis ovárica bilateral con células en anillo de sello. Antecedente de gastritis crónica. ¿Cuál es el origen primario más probable?</w:t>
      </w:r>
    </w:p>
    <w:p>
      <w:r>
        <w:rPr>
          <w:rFonts w:ascii="Arial" w:hAnsi="Arial" w:eastAsia="Arial"/>
          <w:b w:val="0"/>
          <w:i w:val="0"/>
          <w:sz w:val="24"/>
        </w:rPr>
        <w:t>A) Colon</w:t>
      </w:r>
    </w:p>
    <w:p>
      <w:r>
        <w:rPr>
          <w:rFonts w:ascii="Arial" w:hAnsi="Arial" w:eastAsia="Arial"/>
          <w:b w:val="0"/>
          <w:i w:val="0"/>
          <w:sz w:val="24"/>
        </w:rPr>
        <w:t>B) Estómago (tumor de Krukenberg)</w:t>
      </w:r>
    </w:p>
    <w:p>
      <w:r>
        <w:rPr>
          <w:rFonts w:ascii="Arial" w:hAnsi="Arial" w:eastAsia="Arial"/>
          <w:b w:val="0"/>
          <w:i w:val="0"/>
          <w:sz w:val="24"/>
        </w:rPr>
        <w:t>C) Mama</w:t>
      </w:r>
    </w:p>
    <w:p>
      <w:r>
        <w:rPr>
          <w:rFonts w:ascii="Arial" w:hAnsi="Arial" w:eastAsia="Arial"/>
          <w:b w:val="0"/>
          <w:i w:val="0"/>
          <w:sz w:val="24"/>
        </w:rPr>
        <w:t>D) Endometrio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Metástasis ovárica bilateral con células en anillo de sello sugiere tumor de Krukenberg de origen gástrico.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con mutación BRCA1, ¿cuál es la recomendación de tamizaje para cáncer ovárico?</w:t>
      </w:r>
    </w:p>
    <w:p>
      <w:r>
        <w:rPr>
          <w:rFonts w:ascii="Arial" w:hAnsi="Arial" w:eastAsia="Arial"/>
          <w:b w:val="0"/>
          <w:i w:val="0"/>
          <w:sz w:val="24"/>
        </w:rPr>
        <w:t>A) CA-125 y ultrasonido transvaginal cada 6 meses</w:t>
      </w:r>
    </w:p>
    <w:p>
      <w:r>
        <w:rPr>
          <w:rFonts w:ascii="Arial" w:hAnsi="Arial" w:eastAsia="Arial"/>
          <w:b w:val="0"/>
          <w:i w:val="0"/>
          <w:sz w:val="24"/>
        </w:rPr>
        <w:t>B) No existe tamizaje recomendado según GPC por bajo valor predictivo positivo</w:t>
      </w:r>
    </w:p>
    <w:p>
      <w:r>
        <w:rPr>
          <w:rFonts w:ascii="Arial" w:hAnsi="Arial" w:eastAsia="Arial"/>
          <w:b w:val="0"/>
          <w:i w:val="0"/>
          <w:sz w:val="24"/>
        </w:rPr>
        <w:t>C) PET-CT anual</w:t>
      </w:r>
    </w:p>
    <w:p>
      <w:r>
        <w:rPr>
          <w:rFonts w:ascii="Arial" w:hAnsi="Arial" w:eastAsia="Arial"/>
          <w:b w:val="0"/>
          <w:i w:val="0"/>
          <w:sz w:val="24"/>
        </w:rPr>
        <w:t>D) Laparoscopia de tamizaje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Actualmente no se recomienda tamizaje poblacional ni de riesgo alto por bajo VPP (&lt;10%).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Mujer de 45 años, tumor ovárico 20 cm, mucinoso. ¿Cuál es la característica histológica esperada?</w:t>
      </w:r>
    </w:p>
    <w:p>
      <w:r>
        <w:rPr>
          <w:rFonts w:ascii="Arial" w:hAnsi="Arial" w:eastAsia="Arial"/>
          <w:b w:val="0"/>
          <w:i w:val="0"/>
          <w:sz w:val="24"/>
        </w:rPr>
        <w:t>A) Cuerpos de psammoma</w:t>
      </w:r>
    </w:p>
    <w:p>
      <w:r>
        <w:rPr>
          <w:rFonts w:ascii="Arial" w:hAnsi="Arial" w:eastAsia="Arial"/>
          <w:b w:val="0"/>
          <w:i w:val="0"/>
          <w:sz w:val="24"/>
        </w:rPr>
        <w:t>B) Similitud con epitelio endocervical, bilateral en 10-20%</w:t>
      </w:r>
    </w:p>
    <w:p>
      <w:r>
        <w:rPr>
          <w:rFonts w:ascii="Arial" w:hAnsi="Arial" w:eastAsia="Arial"/>
          <w:b w:val="0"/>
          <w:i w:val="0"/>
          <w:sz w:val="24"/>
        </w:rPr>
        <w:t>C) Cuerpos de Call-Exner</w:t>
      </w:r>
    </w:p>
    <w:p>
      <w:r>
        <w:rPr>
          <w:rFonts w:ascii="Arial" w:hAnsi="Arial" w:eastAsia="Arial"/>
          <w:b w:val="0"/>
          <w:i w:val="0"/>
          <w:sz w:val="24"/>
        </w:rPr>
        <w:t>D) Células en anillo de sello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Los cistadenocarcinomas mucinosos simulan epitelio endocervical y son bilaterales en 10-20%.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Paciente de 22 años, disgerminoma ovárico unilateral, desea preservar fertilidad. ¿Cuál es el tratamiento quirúrgico apropiado?</w:t>
      </w:r>
    </w:p>
    <w:p>
      <w:r>
        <w:rPr>
          <w:rFonts w:ascii="Arial" w:hAnsi="Arial" w:eastAsia="Arial"/>
          <w:b w:val="0"/>
          <w:i w:val="0"/>
          <w:sz w:val="24"/>
        </w:rPr>
        <w:t>A) Histerectomía + salpingooforectomía bilateral</w:t>
      </w:r>
    </w:p>
    <w:p>
      <w:r>
        <w:rPr>
          <w:rFonts w:ascii="Arial" w:hAnsi="Arial" w:eastAsia="Arial"/>
          <w:b w:val="0"/>
          <w:i w:val="0"/>
          <w:sz w:val="24"/>
        </w:rPr>
        <w:t>B) Ooforectomía unilateral + quimioterapia</w:t>
      </w:r>
    </w:p>
    <w:p>
      <w:r>
        <w:rPr>
          <w:rFonts w:ascii="Arial" w:hAnsi="Arial" w:eastAsia="Arial"/>
          <w:b w:val="0"/>
          <w:i w:val="0"/>
          <w:sz w:val="24"/>
        </w:rPr>
        <w:t>C) Solo radioterapia pélvica</w:t>
      </w:r>
    </w:p>
    <w:p>
      <w:r>
        <w:rPr>
          <w:rFonts w:ascii="Arial" w:hAnsi="Arial" w:eastAsia="Arial"/>
          <w:b w:val="0"/>
          <w:i w:val="0"/>
          <w:sz w:val="24"/>
        </w:rPr>
        <w:t>D) Quimioterapia neoadyuvante exclusiva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tumores de células germinales unilaterales en mujeres jóvenes que desean fertilidad, la ooforectomía unilateral es apropiada.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Mujer de 58 años, índice de carcinomatosis peritoneal de Sugarbaker = 22 puntos. ¿Cuál es la probabilidad de citorreducción exitosa?</w:t>
      </w:r>
    </w:p>
    <w:p>
      <w:r>
        <w:rPr>
          <w:rFonts w:ascii="Arial" w:hAnsi="Arial" w:eastAsia="Arial"/>
          <w:b w:val="0"/>
          <w:i w:val="0"/>
          <w:sz w:val="24"/>
        </w:rPr>
        <w:t>A) 96%</w:t>
      </w:r>
    </w:p>
    <w:p>
      <w:r>
        <w:rPr>
          <w:rFonts w:ascii="Arial" w:hAnsi="Arial" w:eastAsia="Arial"/>
          <w:b w:val="0"/>
          <w:i w:val="0"/>
          <w:sz w:val="24"/>
        </w:rPr>
        <w:t>B) 50%</w:t>
      </w:r>
    </w:p>
    <w:p>
      <w:r>
        <w:rPr>
          <w:rFonts w:ascii="Arial" w:hAnsi="Arial" w:eastAsia="Arial"/>
          <w:b w:val="0"/>
          <w:i w:val="0"/>
          <w:sz w:val="24"/>
        </w:rPr>
        <w:t>C) &lt;50%</w:t>
      </w:r>
    </w:p>
    <w:p>
      <w:r>
        <w:rPr>
          <w:rFonts w:ascii="Arial" w:hAnsi="Arial" w:eastAsia="Arial"/>
          <w:b w:val="0"/>
          <w:i w:val="0"/>
          <w:sz w:val="24"/>
        </w:rPr>
        <w:t>D) 80%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Índice de Sugarbaker &gt;16 puntos implica probabilidad de citorreducción exitosa &lt;50%.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Paciente de 40 años, tumor de células de la granulosa. Microscópicamente se observan cuerpos de Call-Exner. ¿Cuál es la característica endocrinológica?</w:t>
      </w:r>
    </w:p>
    <w:p>
      <w:r>
        <w:rPr>
          <w:rFonts w:ascii="Arial" w:hAnsi="Arial" w:eastAsia="Arial"/>
          <w:b w:val="0"/>
          <w:i w:val="0"/>
          <w:sz w:val="24"/>
        </w:rPr>
        <w:t>A) Producción de αFP</w:t>
      </w:r>
    </w:p>
    <w:p>
      <w:r>
        <w:rPr>
          <w:rFonts w:ascii="Arial" w:hAnsi="Arial" w:eastAsia="Arial"/>
          <w:b w:val="0"/>
          <w:i w:val="0"/>
          <w:sz w:val="24"/>
        </w:rPr>
        <w:t>B) Secreción de estrógenos</w:t>
      </w:r>
    </w:p>
    <w:p>
      <w:r>
        <w:rPr>
          <w:rFonts w:ascii="Arial" w:hAnsi="Arial" w:eastAsia="Arial"/>
          <w:b w:val="0"/>
          <w:i w:val="0"/>
          <w:sz w:val="24"/>
        </w:rPr>
        <w:t>C) Producción de testosterona</w:t>
      </w:r>
    </w:p>
    <w:p>
      <w:r>
        <w:rPr>
          <w:rFonts w:ascii="Arial" w:hAnsi="Arial" w:eastAsia="Arial"/>
          <w:b w:val="0"/>
          <w:i w:val="0"/>
          <w:sz w:val="24"/>
        </w:rPr>
        <w:t>D) Secreción de inhibina disminuida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Los tumores de células de la granulosa secretan estrógenos y presentan cuerpos de Call-Exner.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Menopausia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Menopausia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Edad media en México: 49 años (rango 47-49). Menopausia precoz: &lt;40 años. Perimenopausia: 2-8 años previos.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Síntomas vasomotores pueden durar 3-5 años. Osteoporosis acelera 10-15 años después. Riesgo cardiovascular aumenta progresivamente.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Depleción folicular ovárica → ↓ estradiol → ↑ FSH/LH. Estrona (periférica) predomina. Pérdida estrogénica → aumento remodelación ósea, síntomas vasomotores, atrofia urogenital.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Bochornos (70-80%), sudores nocturnos, insomnio, irritabilidad, sequedad vaginal, dispareunia, infecciones urinarias recurrentes, incontinencia.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Eminentemente clínico. Amenorrea ≥12 meses + edad 45-55 años. FSH &gt;30-40 mUI/mL y estradiol &lt;20 pg/mL solo ante duda. DEXA para osteoporosis.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THM/THS: estrógeno + progestágeno si útero intacto; solo estrógeno si histerectomizada. No hormonal: ISRS, clonidina, gabapentina. Osteoporosis: bifosfonatos, raloxifeno.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Hipotiroidismo, hiperprolactinemia, síndrome de ovarios poliquísticos, enfermedad tiroidea, anemia, depresión, tumores productores de estrógenos.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Mujer de 51 años, amenorrea de 14 meses, bochornos moderados. No contraindicaciones. ¿Cuál es el tratamiento de elección?</w:t>
      </w:r>
    </w:p>
    <w:p>
      <w:r>
        <w:rPr>
          <w:rFonts w:ascii="Arial" w:hAnsi="Arial" w:eastAsia="Arial"/>
          <w:b w:val="0"/>
          <w:i w:val="0"/>
          <w:sz w:val="24"/>
        </w:rPr>
        <w:t>A) Solo fitoterapia</w:t>
      </w:r>
    </w:p>
    <w:p>
      <w:r>
        <w:rPr>
          <w:rFonts w:ascii="Arial" w:hAnsi="Arial" w:eastAsia="Arial"/>
          <w:b w:val="0"/>
          <w:i w:val="0"/>
          <w:sz w:val="24"/>
        </w:rPr>
        <w:t>B) Terapia hormonal (estrógeno + progestágeno)</w:t>
      </w:r>
    </w:p>
    <w:p>
      <w:r>
        <w:rPr>
          <w:rFonts w:ascii="Arial" w:hAnsi="Arial" w:eastAsia="Arial"/>
          <w:b w:val="0"/>
          <w:i w:val="0"/>
          <w:sz w:val="24"/>
        </w:rPr>
        <w:t>C) Bifosfonatos</w:t>
      </w:r>
    </w:p>
    <w:p>
      <w:r>
        <w:rPr>
          <w:rFonts w:ascii="Arial" w:hAnsi="Arial" w:eastAsia="Arial"/>
          <w:b w:val="0"/>
          <w:i w:val="0"/>
          <w:sz w:val="24"/>
        </w:rPr>
        <w:t>D) Tamoxifeno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THM es el tratamiento de elección para síntomas vasomotores en mujeres &lt;60 años o &lt;10 años desde menopausia sin contraindicaciones.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Paciente de 58 años, histerectomizada hace 10 años, sofocos severos. ¿Cuál es la indicación hormonal?</w:t>
      </w:r>
    </w:p>
    <w:p>
      <w:r>
        <w:rPr>
          <w:rFonts w:ascii="Arial" w:hAnsi="Arial" w:eastAsia="Arial"/>
          <w:b w:val="0"/>
          <w:i w:val="0"/>
          <w:sz w:val="24"/>
        </w:rPr>
        <w:t>A) Estrógeno + progestágeno</w:t>
      </w:r>
    </w:p>
    <w:p>
      <w:r>
        <w:rPr>
          <w:rFonts w:ascii="Arial" w:hAnsi="Arial" w:eastAsia="Arial"/>
          <w:b w:val="0"/>
          <w:i w:val="0"/>
          <w:sz w:val="24"/>
        </w:rPr>
        <w:t>B) Solo estrógeno</w:t>
      </w:r>
    </w:p>
    <w:p>
      <w:r>
        <w:rPr>
          <w:rFonts w:ascii="Arial" w:hAnsi="Arial" w:eastAsia="Arial"/>
          <w:b w:val="0"/>
          <w:i w:val="0"/>
          <w:sz w:val="24"/>
        </w:rPr>
        <w:t>C) Solo progestágeno</w:t>
      </w:r>
    </w:p>
    <w:p>
      <w:r>
        <w:rPr>
          <w:rFonts w:ascii="Arial" w:hAnsi="Arial" w:eastAsia="Arial"/>
          <w:b w:val="0"/>
          <w:i w:val="0"/>
          <w:sz w:val="24"/>
        </w:rPr>
        <w:t>D) Inhibidor de aromatasa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mujeres histerectomizadas, se indica solo estrógeno ya que no existe riesgo de hiperplasia endometrial.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Mujer de 48 años, perimenopáusica, con útero intacto, desea mantener ciclos menstruales. ¿Cuál es el esquema hormonal recomendado?</w:t>
      </w:r>
    </w:p>
    <w:p>
      <w:r>
        <w:rPr>
          <w:rFonts w:ascii="Arial" w:hAnsi="Arial" w:eastAsia="Arial"/>
          <w:b w:val="0"/>
          <w:i w:val="0"/>
          <w:sz w:val="24"/>
        </w:rPr>
        <w:t>A) Terapia continua combinada</w:t>
      </w:r>
    </w:p>
    <w:p>
      <w:r>
        <w:rPr>
          <w:rFonts w:ascii="Arial" w:hAnsi="Arial" w:eastAsia="Arial"/>
          <w:b w:val="0"/>
          <w:i w:val="0"/>
          <w:sz w:val="24"/>
        </w:rPr>
        <w:t>B) Terapia secuencial: estrógeno diario + progesterona 10-14 días/mes</w:t>
      </w:r>
    </w:p>
    <w:p>
      <w:r>
        <w:rPr>
          <w:rFonts w:ascii="Arial" w:hAnsi="Arial" w:eastAsia="Arial"/>
          <w:b w:val="0"/>
          <w:i w:val="0"/>
          <w:sz w:val="24"/>
        </w:rPr>
        <w:t>C) Solo estrógeno</w:t>
      </w:r>
    </w:p>
    <w:p>
      <w:r>
        <w:rPr>
          <w:rFonts w:ascii="Arial" w:hAnsi="Arial" w:eastAsia="Arial"/>
          <w:b w:val="0"/>
          <w:i w:val="0"/>
          <w:sz w:val="24"/>
        </w:rPr>
        <w:t>D) Inhibidor de aromatasa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terapia secuencial se indica en perimenopáusicas con útero que desean mantener ciclos menstruales.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Paciente de 62 años, posmenopausia, DEXA: índice T -2.8 DE en cadera. Sin fracturas previas. ¿Cuál es el tratamiento farmacológico de primera línea?</w:t>
      </w:r>
    </w:p>
    <w:p>
      <w:r>
        <w:rPr>
          <w:rFonts w:ascii="Arial" w:hAnsi="Arial" w:eastAsia="Arial"/>
          <w:b w:val="0"/>
          <w:i w:val="0"/>
          <w:sz w:val="24"/>
        </w:rPr>
        <w:t>A) Estrógenos</w:t>
      </w:r>
    </w:p>
    <w:p>
      <w:r>
        <w:rPr>
          <w:rFonts w:ascii="Arial" w:hAnsi="Arial" w:eastAsia="Arial"/>
          <w:b w:val="0"/>
          <w:i w:val="0"/>
          <w:sz w:val="24"/>
        </w:rPr>
        <w:t>B) Bifosfonatos (alendronato)</w:t>
      </w:r>
    </w:p>
    <w:p>
      <w:r>
        <w:rPr>
          <w:rFonts w:ascii="Arial" w:hAnsi="Arial" w:eastAsia="Arial"/>
          <w:b w:val="0"/>
          <w:i w:val="0"/>
          <w:sz w:val="24"/>
        </w:rPr>
        <w:t>C) Calcio y vitamina D solos</w:t>
      </w:r>
    </w:p>
    <w:p>
      <w:r>
        <w:rPr>
          <w:rFonts w:ascii="Arial" w:hAnsi="Arial" w:eastAsia="Arial"/>
          <w:b w:val="0"/>
          <w:i w:val="0"/>
          <w:sz w:val="24"/>
        </w:rPr>
        <w:t>D) Raloxifeno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Osteoporosis (T-score &lt;-2.5) requiere bifosfonatos como primera línea, además de calcio/vitamina D.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Mujer de 35 años, amenorrea de 14 meses, bochornos, FSH elevada. ¿Cuál es el diagnóstico y tratamiento?</w:t>
      </w:r>
    </w:p>
    <w:p>
      <w:r>
        <w:rPr>
          <w:rFonts w:ascii="Arial" w:hAnsi="Arial" w:eastAsia="Arial"/>
          <w:b w:val="0"/>
          <w:i w:val="0"/>
          <w:sz w:val="24"/>
        </w:rPr>
        <w:t>A) Menopausia fisiológica; observación</w:t>
      </w:r>
    </w:p>
    <w:p>
      <w:r>
        <w:rPr>
          <w:rFonts w:ascii="Arial" w:hAnsi="Arial" w:eastAsia="Arial"/>
          <w:b w:val="0"/>
          <w:i w:val="0"/>
          <w:sz w:val="24"/>
        </w:rPr>
        <w:t>B) Menopausia precoz; terapia hormonal hasta ~50 años</w:t>
      </w:r>
    </w:p>
    <w:p>
      <w:r>
        <w:rPr>
          <w:rFonts w:ascii="Arial" w:hAnsi="Arial" w:eastAsia="Arial"/>
          <w:b w:val="0"/>
          <w:i w:val="0"/>
          <w:sz w:val="24"/>
        </w:rPr>
        <w:t>C) Síndrome de ovarios poliquísticos; metformina</w:t>
      </w:r>
    </w:p>
    <w:p>
      <w:r>
        <w:rPr>
          <w:rFonts w:ascii="Arial" w:hAnsi="Arial" w:eastAsia="Arial"/>
          <w:b w:val="0"/>
          <w:i w:val="0"/>
          <w:sz w:val="24"/>
        </w:rPr>
        <w:t>D) Hiperprolactinemia; bromocriptina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Menopausia &lt;40 años con síntomas climatéricos y FSH elevada indica menopausia precoz; se indica terapia hormonal hasta la edad natural de menopausia (~50 años).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de 55 años con hipertensión arterial controlada, menopausia reciente. ¿Cuál vía de administración de THM es preferible?</w:t>
      </w:r>
    </w:p>
    <w:p>
      <w:r>
        <w:rPr>
          <w:rFonts w:ascii="Arial" w:hAnsi="Arial" w:eastAsia="Arial"/>
          <w:b w:val="0"/>
          <w:i w:val="0"/>
          <w:sz w:val="24"/>
        </w:rPr>
        <w:t>A) Oral</w:t>
      </w:r>
    </w:p>
    <w:p>
      <w:r>
        <w:rPr>
          <w:rFonts w:ascii="Arial" w:hAnsi="Arial" w:eastAsia="Arial"/>
          <w:b w:val="0"/>
          <w:i w:val="0"/>
          <w:sz w:val="24"/>
        </w:rPr>
        <w:t>B) Transdérmica</w:t>
      </w:r>
    </w:p>
    <w:p>
      <w:r>
        <w:rPr>
          <w:rFonts w:ascii="Arial" w:hAnsi="Arial" w:eastAsia="Arial"/>
          <w:b w:val="0"/>
          <w:i w:val="0"/>
          <w:sz w:val="24"/>
        </w:rPr>
        <w:t>C) Intramuscular</w:t>
      </w:r>
    </w:p>
    <w:p>
      <w:r>
        <w:rPr>
          <w:rFonts w:ascii="Arial" w:hAnsi="Arial" w:eastAsia="Arial"/>
          <w:b w:val="0"/>
          <w:i w:val="0"/>
          <w:sz w:val="24"/>
        </w:rPr>
        <w:t>D) No se indica THM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vía transdérmica es de elección en pacientes con hipertensión o riesgo de trombosis por menor efecto sobre factores de coagulación hepáticos.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Mujer de 60 años, en THM combinada por 6 años. Sintomatología controlada. Sin eventos adversos. ¿Cuál es la recomendación?</w:t>
      </w:r>
    </w:p>
    <w:p>
      <w:r>
        <w:rPr>
          <w:rFonts w:ascii="Arial" w:hAnsi="Arial" w:eastAsia="Arial"/>
          <w:b w:val="0"/>
          <w:i w:val="0"/>
          <w:sz w:val="24"/>
        </w:rPr>
        <w:t>A) Continuar indefinidamente</w:t>
      </w:r>
    </w:p>
    <w:p>
      <w:r>
        <w:rPr>
          <w:rFonts w:ascii="Arial" w:hAnsi="Arial" w:eastAsia="Arial"/>
          <w:b w:val="0"/>
          <w:i w:val="0"/>
          <w:sz w:val="24"/>
        </w:rPr>
        <w:t>B) Suspensión gradual y reevaluación de riesgo/beneficio</w:t>
      </w:r>
    </w:p>
    <w:p>
      <w:r>
        <w:rPr>
          <w:rFonts w:ascii="Arial" w:hAnsi="Arial" w:eastAsia="Arial"/>
          <w:b w:val="0"/>
          <w:i w:val="0"/>
          <w:sz w:val="24"/>
        </w:rPr>
        <w:t>C) Aumentar la dosis</w:t>
      </w:r>
    </w:p>
    <w:p>
      <w:r>
        <w:rPr>
          <w:rFonts w:ascii="Arial" w:hAnsi="Arial" w:eastAsia="Arial"/>
          <w:b w:val="0"/>
          <w:i w:val="0"/>
          <w:sz w:val="24"/>
        </w:rPr>
        <w:t>D) Cambiar a fitoterapia exclusivamente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THM &gt;5 años requiere reevaluación periódica de riesgo/beneficio; se suspende si no hay indicaciones firmes.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Paciente de 52 años, sangrado vaginal leve tras 18 meses de amenorrea. En THM con estrógeno + progestágeno.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Aumentar dosis de progestágeno</w:t>
      </w:r>
    </w:p>
    <w:p>
      <w:r>
        <w:rPr>
          <w:rFonts w:ascii="Arial" w:hAnsi="Arial" w:eastAsia="Arial"/>
          <w:b w:val="0"/>
          <w:i w:val="0"/>
          <w:sz w:val="24"/>
        </w:rPr>
        <w:t>B) Suspender THM y realizar estudio de sangrado uterino anormal</w:t>
      </w:r>
    </w:p>
    <w:p>
      <w:r>
        <w:rPr>
          <w:rFonts w:ascii="Arial" w:hAnsi="Arial" w:eastAsia="Arial"/>
          <w:b w:val="0"/>
          <w:i w:val="0"/>
          <w:sz w:val="24"/>
        </w:rPr>
        <w:t>C) Cambiar a estrógeno solo</w:t>
      </w:r>
    </w:p>
    <w:p>
      <w:r>
        <w:rPr>
          <w:rFonts w:ascii="Arial" w:hAnsi="Arial" w:eastAsia="Arial"/>
          <w:b w:val="0"/>
          <w:i w:val="0"/>
          <w:sz w:val="24"/>
        </w:rPr>
        <w:t>D) Esperar 3 meses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Sangrado uterino en postmenopausia (incluso bajo THM) requiere estudio para descartar patología endometrial.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Mujer de 65 años, caída desde su propia altura, fractura de cadera. DEXA previa: osteopenia (T-score -1.8). Sin tratamiento previo. ¿Cuál era la conducta correcta antes de la fractura?</w:t>
      </w:r>
    </w:p>
    <w:p>
      <w:r>
        <w:rPr>
          <w:rFonts w:ascii="Arial" w:hAnsi="Arial" w:eastAsia="Arial"/>
          <w:b w:val="0"/>
          <w:i w:val="0"/>
          <w:sz w:val="24"/>
        </w:rPr>
        <w:t>A) Calcio/vitamina D solos</w:t>
      </w:r>
    </w:p>
    <w:p>
      <w:r>
        <w:rPr>
          <w:rFonts w:ascii="Arial" w:hAnsi="Arial" w:eastAsia="Arial"/>
          <w:b w:val="0"/>
          <w:i w:val="0"/>
          <w:sz w:val="24"/>
        </w:rPr>
        <w:t>B) Evaluar riesgo de fractura con FRAX; si alto riesgo, bifosfonatos</w:t>
      </w:r>
    </w:p>
    <w:p>
      <w:r>
        <w:rPr>
          <w:rFonts w:ascii="Arial" w:hAnsi="Arial" w:eastAsia="Arial"/>
          <w:b w:val="0"/>
          <w:i w:val="0"/>
          <w:sz w:val="24"/>
        </w:rPr>
        <w:t>C) THM preventiva</w:t>
      </w:r>
    </w:p>
    <w:p>
      <w:r>
        <w:rPr>
          <w:rFonts w:ascii="Arial" w:hAnsi="Arial" w:eastAsia="Arial"/>
          <w:b w:val="0"/>
          <w:i w:val="0"/>
          <w:sz w:val="24"/>
        </w:rPr>
        <w:t>D) No requería tamizaje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osteopenia con alto riesgo de fractura por FRAX se indican bifosfonatos preventivos.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Paciente de 45 años, menopausia precoz. ¿Cuál de las siguientes es contraindicación absoluta para THM?</w:t>
      </w:r>
    </w:p>
    <w:p>
      <w:r>
        <w:rPr>
          <w:rFonts w:ascii="Arial" w:hAnsi="Arial" w:eastAsia="Arial"/>
          <w:b w:val="0"/>
          <w:i w:val="0"/>
          <w:sz w:val="24"/>
        </w:rPr>
        <w:t>A) Hipertensión arterial controlada</w:t>
      </w:r>
    </w:p>
    <w:p>
      <w:r>
        <w:rPr>
          <w:rFonts w:ascii="Arial" w:hAnsi="Arial" w:eastAsia="Arial"/>
          <w:b w:val="0"/>
          <w:i w:val="0"/>
          <w:sz w:val="24"/>
        </w:rPr>
        <w:t>B) Neoplasia mamaria previa</w:t>
      </w:r>
    </w:p>
    <w:p>
      <w:r>
        <w:rPr>
          <w:rFonts w:ascii="Arial" w:hAnsi="Arial" w:eastAsia="Arial"/>
          <w:b w:val="0"/>
          <w:i w:val="0"/>
          <w:sz w:val="24"/>
        </w:rPr>
        <w:t>C) Osteopenia leve</w:t>
      </w:r>
    </w:p>
    <w:p>
      <w:r>
        <w:rPr>
          <w:rFonts w:ascii="Arial" w:hAnsi="Arial" w:eastAsia="Arial"/>
          <w:b w:val="0"/>
          <w:i w:val="0"/>
          <w:sz w:val="24"/>
        </w:rPr>
        <w:t>D) Síntomas vasomotores leves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Neoplasia dependiente de hormonas (mama, endometrio) es contraindicación absoluta para THM.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