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0"/>
          <w:szCs w:val="20"/>
        </w:rPr>
        <w:t xml:space="preserve">HOSPITAL DE SALUD MENTAL ORIZABA "DR. VÍCTOR MANUEL CONCHA VÁSQUEZ"</w:t>
      </w:r>
    </w:p>
    <w:p>
      <w:pPr>
        <w:spacing w:after="160"/>
        <w:jc w:val="center"/>
      </w:pPr>
      <w:r>
        <w:rPr>
          <w:rFonts w:ascii="Arial" w:cs="Arial" w:eastAsia="Arial" w:hAnsi="Arial"/>
          <w:color w:val="555555"/>
          <w:sz w:val="18"/>
          <w:szCs w:val="18"/>
        </w:rPr>
        <w:t xml:space="preserve">SERVICIOS DE SALUD DE VERACRUZ — SESVER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538135" w:sz="4"/>
              <w:left w:val="single" w:color="538135" w:sz="4"/>
              <w:bottom w:val="single" w:color="538135" w:sz="4"/>
              <w:right w:val="single" w:color="538135" w:sz="4"/>
            </w:tcBorders>
            <w:shd w:fill="538135"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CARTA DE PROCESO</w:t>
            </w:r>
          </w:p>
        </w:tc>
      </w:tr>
      <w:tr>
        <w:tc>
          <w:tcPr>
            <w:tcW w:type="dxa" w:w="9360"/>
            <w:gridSpan w:val="4"/>
            <w:tcBorders>
              <w:top w:val="single" w:color="538135" w:sz="4"/>
              <w:left w:val="single" w:color="538135" w:sz="4"/>
              <w:bottom w:val="single" w:color="538135" w:sz="4"/>
              <w:right w:val="single" w:color="538135" w:sz="4"/>
            </w:tcBorders>
            <w:tcMar>
              <w:top w:type="dxa" w:w="40"/>
              <w:left w:type="dxa" w:w="120"/>
              <w:bottom w:type="dxa" w:w="40"/>
              <w:right w:type="dxa" w:w="120"/>
            </w:tcMar>
          </w:tcPr>
          <w:p>
            <w:pPr>
              <w:spacing w:after="0"/>
            </w:pPr>
            <w:r>
              <w:rPr>
                <w:rFonts w:ascii="Arial" w:hAnsi="Arial"/>
                <w:b/>
                <w:sz w:val="18"/>
              </w:rPr>
              <w:t>Nombre del Proceso:</w:t>
            </w:r>
          </w:p>
          <w:p>
            <w:r>
              <w:rPr>
                <w:rFonts w:ascii="Arial" w:hAnsi="Arial"/>
                <w:b w:val="0"/>
                <w:sz w:val="18"/>
              </w:rPr>
              <w:t>Identificación de la necesidad de evaluaciones especializadas adicionales durante la valoración inicial</w:t>
            </w:r>
          </w:p>
        </w:tc>
      </w:tr>
      <w:tr>
        <w:tc>
          <w:tcPr>
            <w:tcW w:type="dxa" w:w="9360"/>
            <w:gridSpan w:val="4"/>
            <w:tcBorders>
              <w:top w:val="single" w:color="538135" w:sz="4"/>
              <w:left w:val="single" w:color="538135" w:sz="4"/>
              <w:bottom w:val="single" w:color="538135" w:sz="4"/>
              <w:right w:val="single" w:color="538135" w:sz="4"/>
            </w:tcBorders>
            <w:tcMar>
              <w:top w:type="dxa" w:w="40"/>
              <w:left w:type="dxa" w:w="120"/>
              <w:bottom w:type="dxa" w:w="40"/>
              <w:right w:type="dxa" w:w="120"/>
            </w:tcMar>
          </w:tcPr>
          <w:p>
            <w:pPr>
              <w:spacing w:after="0"/>
            </w:pPr>
            <w:r>
              <w:rPr>
                <w:rFonts w:ascii="Arial" w:hAnsi="Arial"/>
                <w:b/>
                <w:sz w:val="18"/>
              </w:rPr>
              <w:t>Objetivo:</w:t>
            </w:r>
          </w:p>
          <w:p>
            <w:r>
              <w:rPr>
                <w:rFonts w:ascii="Arial" w:hAnsi="Arial"/>
                <w:b w:val="0"/>
                <w:sz w:val="18"/>
              </w:rPr>
              <w:t>Establecer el proceso estandarizado para identificación de la necesidad de evaluaciones especializadas adicionales durante la valoración inicial como parte de la valoración inicial del paciente en el HSMO, realizada al ingreso y actualizada ante cambios clínicos relevantes, documentada en el expediente clínico y utilizada para planificar la atención individualizada, conforme al Manual del MOCEBPASS para Hospitales 2025 (Estándar 15/23) y a la adaptación psiquiátrica del establecimiento.</w:t>
            </w:r>
          </w:p>
        </w:tc>
      </w:tr>
      <w:tr>
        <w:tc>
          <w:tcPr>
            <w:tcW w:type="dxa" w:w="9360"/>
            <w:gridSpan w:val="4"/>
            <w:tcBorders>
              <w:top w:val="single" w:color="538135" w:sz="4"/>
              <w:left w:val="single" w:color="538135" w:sz="4"/>
              <w:bottom w:val="single" w:color="538135" w:sz="4"/>
              <w:right w:val="single" w:color="538135" w:sz="4"/>
            </w:tcBorders>
            <w:tcMar>
              <w:top w:type="dxa" w:w="40"/>
              <w:left w:type="dxa" w:w="120"/>
              <w:bottom w:type="dxa" w:w="40"/>
              <w:right w:type="dxa" w:w="120"/>
            </w:tcMar>
          </w:tcPr>
          <w:p>
            <w:pPr>
              <w:spacing w:after="0"/>
            </w:pPr>
            <w:r>
              <w:rPr>
                <w:rFonts w:ascii="Arial" w:hAnsi="Arial"/>
                <w:b/>
                <w:sz w:val="18"/>
              </w:rPr>
              <w:t>Alcance del proceso:</w:t>
            </w:r>
          </w:p>
          <w:p>
            <w:r>
              <w:rPr>
                <w:rFonts w:ascii="Arial" w:hAnsi="Arial"/>
                <w:b w:val="0"/>
                <w:sz w:val="18"/>
              </w:rPr>
              <w:t>Aplica a todo paciente que ingrese a Urgencias/UCEP, Hospitalización y Consulta Externa del HSMO. Se ejecuta desde el primer contacto clínico y se actualiza según lo definido por el establecimiento, con la adaptación psiquiátrica correspondiente (participación familiar, estancia prolongada, enfoque de derechos humanos y atención centrada en la persona).</w:t>
            </w:r>
          </w:p>
        </w:tc>
      </w:tr>
      <w:tr>
        <w:tc>
          <w:tcPr>
            <w:tcW w:type="dxa" w:w="9360"/>
            <w:gridSpan w:val="4"/>
            <w:tcBorders>
              <w:top w:val="single" w:color="538135" w:sz="4"/>
              <w:left w:val="single" w:color="538135" w:sz="4"/>
              <w:bottom w:val="single" w:color="538135" w:sz="4"/>
              <w:right w:val="single" w:color="538135" w:sz="4"/>
            </w:tcBorders>
            <w:tcMar>
              <w:top w:type="dxa" w:w="40"/>
              <w:left w:type="dxa" w:w="120"/>
              <w:bottom w:type="dxa" w:w="40"/>
              <w:right w:type="dxa" w:w="120"/>
            </w:tcMar>
          </w:tcPr>
          <w:p>
            <w:pPr>
              <w:spacing w:after="0"/>
            </w:pPr>
            <w:r>
              <w:rPr>
                <w:b/>
              </w:rPr>
              <w:t>Responsable:</w:t>
            </w:r>
            <w:r>
              <w:t xml:space="preserve">  Médico de Urgencias (cronograma oficial). El médico de admisión continua y el médico general de hospitalización identifican la necesidad y solicitan las evaluaciones; el médico psiquiatra valora las interconsultas de su competencia.</w:t>
            </w:r>
          </w:p>
        </w:tc>
      </w:tr>
      <w:tr>
        <w:tc>
          <w:tcPr>
            <w:tcW w:type="dxa" w:w="9360"/>
            <w:gridSpan w:val="4"/>
            <w:tcBorders>
              <w:top w:val="single" w:color="538135" w:sz="4"/>
              <w:left w:val="single" w:color="538135" w:sz="4"/>
              <w:bottom w:val="single" w:color="538135" w:sz="4"/>
              <w:right w:val="single" w:color="538135" w:sz="4"/>
            </w:tcBorders>
            <w:tcMar>
              <w:top w:type="dxa" w:w="40"/>
              <w:left w:type="dxa" w:w="120"/>
              <w:bottom w:type="dxa" w:w="40"/>
              <w:right w:type="dxa" w:w="120"/>
            </w:tcMar>
          </w:tcPr>
          <w:p>
            <w:pPr>
              <w:spacing w:after="0"/>
            </w:pPr>
            <w:r>
              <w:rPr>
                <w:rFonts w:ascii="Arial" w:hAnsi="Arial"/>
                <w:b/>
                <w:sz w:val="18"/>
              </w:rPr>
              <w:t>Entrada: (REQUISITOS)</w:t>
            </w:r>
          </w:p>
          <w:p>
            <w:r>
              <w:rPr>
                <w:rFonts w:ascii="Arial" w:hAnsi="Arial"/>
                <w:b w:val="0"/>
                <w:sz w:val="18"/>
              </w:rPr>
              <w:t>• Paciente hospitalizado en el HSMO.</w:t>
            </w:r>
          </w:p>
          <w:p>
            <w:r>
              <w:rPr>
                <w:rFonts w:ascii="Arial" w:hAnsi="Arial"/>
                <w:b w:val="0"/>
                <w:sz w:val="18"/>
              </w:rPr>
              <w:t>• Evaluación inicial y valoraciones clínicas en curso.</w:t>
            </w:r>
          </w:p>
          <w:p>
            <w:r>
              <w:rPr>
                <w:rFonts w:ascii="Arial" w:hAnsi="Arial"/>
                <w:b w:val="0"/>
                <w:sz w:val="18"/>
              </w:rPr>
              <w:t>• Protocolo institucional de actuación ante hallazgos clínicos relevantes.</w:t>
            </w:r>
          </w:p>
          <w:p>
            <w:r>
              <w:rPr>
                <w:rFonts w:ascii="Arial" w:hAnsi="Arial"/>
                <w:b w:val="0"/>
                <w:sz w:val="18"/>
              </w:rPr>
              <w:t>• Listado de áreas clínicas o servicios especializados disponibles (establecimiento o red de referencia).</w:t>
            </w:r>
          </w:p>
        </w:tc>
      </w:tr>
      <w:tr>
        <w:tc>
          <w:tcPr>
            <w:tcW w:type="dxa" w:w="9360"/>
            <w:gridSpan w:val="4"/>
            <w:tcBorders>
              <w:top w:val="single" w:color="538135" w:sz="4"/>
              <w:left w:val="single" w:color="538135" w:sz="4"/>
              <w:bottom w:val="single" w:color="538135" w:sz="4"/>
              <w:right w:val="single" w:color="538135" w:sz="4"/>
            </w:tcBorders>
            <w:tcMar>
              <w:top w:type="dxa" w:w="40"/>
              <w:left w:type="dxa" w:w="120"/>
              <w:bottom w:type="dxa" w:w="40"/>
              <w:right w:type="dxa" w:w="120"/>
            </w:tcMar>
          </w:tcPr>
          <w:p>
            <w:pPr>
              <w:spacing w:after="0"/>
            </w:pPr>
            <w:r>
              <w:rPr>
                <w:rFonts w:ascii="Arial" w:hAnsi="Arial"/>
                <w:b/>
                <w:sz w:val="18"/>
              </w:rPr>
              <w:t>Actividades que forman el proceso:</w:t>
            </w:r>
          </w:p>
          <w:p>
            <w:r>
              <w:rPr>
                <w:rFonts w:ascii="Arial" w:hAnsi="Arial"/>
                <w:b w:val="0"/>
                <w:sz w:val="18"/>
              </w:rPr>
              <w:t>1. 1. Durante la evaluación inicial y las valoraciones posteriores (historia clínica, exploración física, valoración de enfermería), identificar hallazgos que requieran atención especializada no relacionada con el motivo de ingreso, para prevenir complicaciones, complementar el diagnóstico o ajustar el plan terapéutico.</w:t>
            </w:r>
          </w:p>
          <w:p>
            <w:r>
              <w:rPr>
                <w:rFonts w:ascii="Arial" w:hAnsi="Arial"/>
                <w:b w:val="0"/>
                <w:sz w:val="18"/>
              </w:rPr>
              <w:t>2. 2. Activar las acciones correspondientes conforme a la estructura operativa: solicitud de interconsultas, derivaciones internas, referencias ambulatorias o información al paciente o su familia.</w:t>
            </w:r>
          </w:p>
          <w:p>
            <w:r>
              <w:rPr>
                <w:rFonts w:ascii="Arial" w:hAnsi="Arial"/>
                <w:b w:val="0"/>
                <w:sz w:val="18"/>
              </w:rPr>
              <w:t>3. 3. Garantizar la atención especializada durante la estancia o, en su defecto, mediante mecanismos formales de continuidad de la atención.</w:t>
            </w:r>
          </w:p>
          <w:p>
            <w:r>
              <w:rPr>
                <w:rFonts w:ascii="Arial" w:hAnsi="Arial"/>
                <w:b w:val="0"/>
                <w:sz w:val="18"/>
              </w:rPr>
              <w:t>4. 4. Registrar en el expediente clínico la identificación, la solicitud de interconsulta o derivación y su seguimiento.</w:t>
            </w:r>
          </w:p>
          <w:p>
            <w:r>
              <w:rPr>
                <w:rFonts w:ascii="Arial" w:hAnsi="Arial"/>
                <w:b w:val="0"/>
                <w:sz w:val="18"/>
              </w:rPr>
              <w:t>5. 5. Integrar los resultados de las evaluaciones especializadas al plan terapéutico.</w:t>
            </w:r>
          </w:p>
        </w:tc>
      </w:tr>
      <w:tr>
        <w:tc>
          <w:tcPr>
            <w:tcW w:type="dxa" w:w="9360"/>
            <w:gridSpan w:val="4"/>
            <w:tcBorders>
              <w:top w:val="single" w:color="538135" w:sz="4"/>
              <w:left w:val="single" w:color="538135" w:sz="4"/>
              <w:bottom w:val="single" w:color="538135" w:sz="4"/>
              <w:right w:val="single" w:color="538135" w:sz="4"/>
            </w:tcBorders>
            <w:tcMar>
              <w:top w:type="dxa" w:w="40"/>
              <w:left w:type="dxa" w:w="120"/>
              <w:bottom w:type="dxa" w:w="40"/>
              <w:right w:type="dxa" w:w="120"/>
            </w:tcMar>
          </w:tcPr>
          <w:p>
            <w:pPr>
              <w:spacing w:after="0"/>
            </w:pPr>
            <w:r>
              <w:rPr>
                <w:rFonts w:ascii="Arial" w:hAnsi="Arial"/>
                <w:b/>
                <w:sz w:val="18"/>
              </w:rPr>
              <w:t>Salida: (RESULTADOS ESPERADOS)</w:t>
            </w:r>
          </w:p>
          <w:p>
            <w:r>
              <w:rPr>
                <w:rFonts w:ascii="Arial" w:hAnsi="Arial"/>
                <w:b w:val="0"/>
                <w:sz w:val="18"/>
              </w:rPr>
              <w:t>• Pacientes con necesidad de evaluación especializada identificados oportunamente.</w:t>
            </w:r>
          </w:p>
          <w:p>
            <w:r>
              <w:rPr>
                <w:rFonts w:ascii="Arial" w:hAnsi="Arial"/>
                <w:b w:val="0"/>
                <w:sz w:val="18"/>
              </w:rPr>
              <w:t>• Interconsultas, derivaciones o referencias ejecutadas y documentadas en el expediente.</w:t>
            </w:r>
          </w:p>
          <w:p>
            <w:r>
              <w:rPr>
                <w:rFonts w:ascii="Arial" w:hAnsi="Arial"/>
                <w:b w:val="0"/>
                <w:sz w:val="18"/>
              </w:rPr>
              <w:t>• Plan terapéutico ajustado con los resultados de las evaluaciones.</w:t>
            </w:r>
          </w:p>
        </w:tc>
      </w:tr>
      <w:tr>
        <w:tc>
          <w:tcPr>
            <w:tcW w:type="dxa" w:w="9360"/>
            <w:gridSpan w:val="4"/>
            <w:tcBorders>
              <w:top w:val="single" w:color="538135" w:sz="4"/>
              <w:left w:val="single" w:color="538135" w:sz="4"/>
              <w:bottom w:val="single" w:color="538135" w:sz="4"/>
              <w:right w:val="single" w:color="538135" w:sz="4"/>
            </w:tcBorders>
            <w:tcMar>
              <w:top w:type="dxa" w:w="40"/>
              <w:left w:type="dxa" w:w="120"/>
              <w:bottom w:type="dxa" w:w="40"/>
              <w:right w:type="dxa" w:w="120"/>
            </w:tcMar>
          </w:tcPr>
          <w:p>
            <w:pPr>
              <w:spacing w:after="0"/>
            </w:pPr>
            <w:r>
              <w:rPr>
                <w:rFonts w:ascii="Arial" w:hAnsi="Arial"/>
                <w:b/>
                <w:sz w:val="18"/>
              </w:rPr>
              <w:t>Documentos aplicables:</w:t>
            </w:r>
          </w:p>
          <w:p>
            <w:r>
              <w:rPr>
                <w:rFonts w:ascii="Arial" w:hAnsi="Arial"/>
                <w:b w:val="0"/>
                <w:sz w:val="18"/>
              </w:rPr>
              <w:t>• NOM-004-SSA3-2012, Del expediente clínico.</w:t>
            </w:r>
          </w:p>
          <w:p>
            <w:r>
              <w:rPr>
                <w:rFonts w:ascii="Arial" w:hAnsi="Arial"/>
                <w:b w:val="0"/>
                <w:sz w:val="18"/>
              </w:rPr>
              <w:t>• Manual del MOCEBPASS para Hospitales, 1a. Edición 2025 (CSG), Estándar 15/23, págs. 323-324.</w:t>
            </w:r>
          </w:p>
          <w:p>
            <w:r>
              <w:rPr>
                <w:rFonts w:ascii="Arial" w:hAnsi="Arial"/>
                <w:b w:val="0"/>
                <w:sz w:val="18"/>
              </w:rPr>
              <w:t>• Documento institucional del proceso de identificación de evaluaciones especializadas.</w:t>
            </w:r>
          </w:p>
          <w:p>
            <w:r>
              <w:rPr>
                <w:rFonts w:ascii="Arial" w:hAnsi="Arial"/>
                <w:b w:val="0"/>
                <w:sz w:val="18"/>
              </w:rPr>
              <w:t>• Protocolo de actuación ante hallazgos clínicos relevantes.</w:t>
            </w:r>
          </w:p>
          <w:p>
            <w:r>
              <w:rPr>
                <w:rFonts w:ascii="Arial" w:hAnsi="Arial"/>
                <w:b w:val="0"/>
                <w:sz w:val="18"/>
              </w:rPr>
              <w:t>• Listado de servicios especializados del establecimiento o red de referencia.</w:t>
            </w:r>
          </w:p>
        </w:tc>
      </w:tr>
      <w:tr>
        <w:tc>
          <w:tcPr>
            <w:tcW w:type="dxa" w:w="2340"/>
            <w:tcBorders>
              <w:top w:val="single" w:color="538135" w:sz="4"/>
              <w:left w:val="single" w:color="538135" w:sz="4"/>
              <w:bottom w:val="single" w:color="538135" w:sz="4"/>
              <w:right w:val="single" w:color="538135" w:sz="4"/>
            </w:tcBorders>
            <w:tcMar>
              <w:top w:type="dxa" w:w="50"/>
              <w:left w:type="dxa" w:w="120"/>
              <w:bottom w:type="dxa" w:w="50"/>
              <w:right w:type="dxa" w:w="120"/>
            </w:tcMar>
          </w:tcPr>
          <w:p>
            <w:pPr>
              <w:spacing w:after="0"/>
            </w:pPr>
            <w:r>
              <w:rPr>
                <w:rFonts w:ascii="Arial" w:cs="Arial" w:eastAsia="Arial" w:hAnsi="Arial"/>
                <w:b/>
                <w:bCs/>
                <w:sz w:val="18"/>
                <w:szCs w:val="18"/>
              </w:rPr>
              <w:t xml:space="preserve">Elaboró:</w:t>
            </w:r>
          </w:p>
          <w:p>
            <w:pPr>
              <w:spacing w:after="0"/>
            </w:pPr>
            <w:r>
              <w:rPr>
                <w:rFonts w:ascii="Arial" w:cs="Arial" w:eastAsia="Arial" w:hAnsi="Arial"/>
                <w:sz w:val="18"/>
                <w:szCs w:val="18"/>
              </w:rPr>
              <w:t xml:space="preserve"> </w:t>
            </w:r>
          </w:p>
        </w:tc>
        <w:tc>
          <w:tcPr>
            <w:tcW w:type="dxa" w:w="2340"/>
            <w:tcBorders>
              <w:top w:val="single" w:color="538135" w:sz="4"/>
              <w:left w:val="single" w:color="538135" w:sz="4"/>
              <w:bottom w:val="single" w:color="538135" w:sz="4"/>
              <w:right w:val="single" w:color="538135" w:sz="4"/>
            </w:tcBorders>
            <w:tcMar>
              <w:top w:type="dxa" w:w="50"/>
              <w:left w:type="dxa" w:w="120"/>
              <w:bottom w:type="dxa" w:w="50"/>
              <w:right w:type="dxa" w:w="120"/>
            </w:tcMar>
          </w:tcPr>
          <w:p>
            <w:pPr>
              <w:spacing w:after="0"/>
            </w:pPr>
            <w:r>
              <w:rPr>
                <w:rFonts w:ascii="Arial" w:cs="Arial" w:eastAsia="Arial" w:hAnsi="Arial"/>
                <w:b/>
                <w:bCs/>
                <w:sz w:val="18"/>
                <w:szCs w:val="18"/>
              </w:rPr>
              <w:t xml:space="preserve">Revisó:</w:t>
            </w:r>
          </w:p>
          <w:p>
            <w:pPr>
              <w:spacing w:after="0"/>
            </w:pPr>
            <w:r>
              <w:rPr>
                <w:rFonts w:ascii="Arial" w:cs="Arial" w:eastAsia="Arial" w:hAnsi="Arial"/>
                <w:sz w:val="18"/>
                <w:szCs w:val="18"/>
              </w:rPr>
              <w:t xml:space="preserve"> </w:t>
            </w:r>
          </w:p>
        </w:tc>
        <w:tc>
          <w:tcPr>
            <w:tcW w:type="dxa" w:w="2340"/>
            <w:tcBorders>
              <w:top w:val="single" w:color="538135" w:sz="4"/>
              <w:left w:val="single" w:color="538135" w:sz="4"/>
              <w:bottom w:val="single" w:color="538135" w:sz="4"/>
              <w:right w:val="single" w:color="538135" w:sz="4"/>
            </w:tcBorders>
            <w:tcMar>
              <w:top w:type="dxa" w:w="50"/>
              <w:left w:type="dxa" w:w="120"/>
              <w:bottom w:type="dxa" w:w="50"/>
              <w:right w:type="dxa" w:w="120"/>
            </w:tcMar>
          </w:tcPr>
          <w:p>
            <w:pPr>
              <w:spacing w:after="0"/>
            </w:pPr>
            <w:r>
              <w:rPr>
                <w:rFonts w:ascii="Arial" w:cs="Arial" w:eastAsia="Arial" w:hAnsi="Arial"/>
                <w:b/>
                <w:bCs/>
                <w:sz w:val="18"/>
                <w:szCs w:val="18"/>
              </w:rPr>
              <w:t xml:space="preserve">Validó:</w:t>
            </w:r>
          </w:p>
          <w:p>
            <w:pPr>
              <w:spacing w:after="0"/>
            </w:pPr>
            <w:r>
              <w:rPr>
                <w:rFonts w:ascii="Arial" w:cs="Arial" w:eastAsia="Arial" w:hAnsi="Arial"/>
                <w:sz w:val="18"/>
                <w:szCs w:val="18"/>
              </w:rPr>
              <w:t xml:space="preserve"> </w:t>
            </w:r>
          </w:p>
        </w:tc>
        <w:tc>
          <w:tcPr>
            <w:tcW w:type="dxa" w:w="2340"/>
            <w:tcBorders>
              <w:top w:val="single" w:color="538135" w:sz="4"/>
              <w:left w:val="single" w:color="538135" w:sz="4"/>
              <w:bottom w:val="single" w:color="538135" w:sz="4"/>
              <w:right w:val="single" w:color="538135" w:sz="4"/>
            </w:tcBorders>
            <w:tcMar>
              <w:top w:type="dxa" w:w="50"/>
              <w:left w:type="dxa" w:w="120"/>
              <w:bottom w:type="dxa" w:w="50"/>
              <w:right w:type="dxa" w:w="120"/>
            </w:tcMar>
          </w:tcPr>
          <w:p>
            <w:pPr>
              <w:spacing w:after="0"/>
            </w:pPr>
            <w:r>
              <w:rPr>
                <w:rFonts w:ascii="Arial" w:cs="Arial" w:eastAsia="Arial" w:hAnsi="Arial"/>
                <w:b/>
                <w:bCs/>
                <w:sz w:val="18"/>
                <w:szCs w:val="18"/>
              </w:rPr>
              <w:t xml:space="preserve">Fecha:</w:t>
            </w:r>
          </w:p>
          <w:p>
            <w:pPr>
              <w:spacing w:after="0"/>
            </w:pPr>
            <w:r>
              <w:rPr>
                <w:rFonts w:ascii="Arial" w:cs="Arial" w:eastAsia="Arial" w:hAnsi="Arial"/>
                <w:sz w:val="18"/>
                <w:szCs w:val="18"/>
              </w:rPr>
              <w:t xml:space="preserve"> </w:t>
            </w:r>
          </w:p>
        </w:tc>
      </w:tr>
    </w:tbl>
    <w:p>
      <w:pPr>
        <w:spacing w:after="0"/>
      </w:pPr>
      <w:r>
        <w:br w:type="page"/>
      </w:r>
    </w:p>
    <w:p>
      <w:pPr>
        <w:spacing w:after="60"/>
        <w:jc w:val="center"/>
      </w:pPr>
      <w:r>
        <w:rPr>
          <w:rFonts w:ascii="Arial" w:cs="Arial" w:eastAsia="Arial" w:hAnsi="Arial"/>
          <w:b/>
          <w:bCs/>
          <w:sz w:val="20"/>
          <w:szCs w:val="20"/>
        </w:rPr>
        <w:t xml:space="preserve">HOSPITAL DE SALUD MENTAL ORIZABA "DR. VÍCTOR MANUEL CONCHA VÁSQUEZ"</w:t>
      </w:r>
    </w:p>
    <w:p>
      <w:pPr>
        <w:spacing w:after="160"/>
        <w:jc w:val="center"/>
      </w:pPr>
      <w:r>
        <w:rPr>
          <w:rFonts w:ascii="Arial" w:cs="Arial" w:eastAsia="Arial" w:hAnsi="Arial"/>
          <w:color w:val="555555"/>
          <w:sz w:val="18"/>
          <w:szCs w:val="18"/>
        </w:rPr>
        <w:t xml:space="preserve">SERVICIOS DE SALUD DE VERACRUZ — SESVER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9360"/>
            <w:gridSpan w:val="2"/>
            <w:tcBorders>
              <w:top w:val="single" w:color="538135" w:sz="4"/>
              <w:left w:val="single" w:color="538135" w:sz="4"/>
              <w:bottom w:val="single" w:color="538135" w:sz="4"/>
              <w:right w:val="single" w:color="538135" w:sz="4"/>
            </w:tcBorders>
            <w:shd w:fill="538135"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MAPA DE PROCESO</w:t>
            </w:r>
          </w:p>
        </w:tc>
      </w:tr>
      <w:tr>
        <w:trPr>
          <w:trHeight w:val="1800" w:hRule="atLeast"/>
        </w:trPr>
        <w:tc>
          <w:tcPr>
            <w:tcW w:type="dxa" w:w="800"/>
            <w:tcBorders>
              <w:top w:val="single" w:color="538135" w:sz="4"/>
              <w:left w:val="single" w:color="538135" w:sz="4"/>
              <w:bottom w:val="single" w:color="538135" w:sz="4"/>
              <w:right w:val="single" w:color="538135" w:sz="4"/>
            </w:tcBorders>
            <w:shd w:fill="538135" w:val="clear"/>
            <w:tcMar>
              <w:top w:type="dxa" w:w="60"/>
              <w:left w:type="dxa" w:w="60"/>
              <w:bottom w:type="dxa" w:w="60"/>
              <w:right w:type="dxa" w:w="60"/>
            </w:tcMar>
            <w:textDirection w:val="btLr"/>
            <w:vAlign w:val="center"/>
          </w:tcPr>
          <w:p>
            <w:pPr>
              <w:jc w:val="center"/>
            </w:pPr>
            <w:r>
              <w:rPr>
                <w:rFonts w:ascii="Arial" w:cs="Arial" w:eastAsia="Arial" w:hAnsi="Arial"/>
                <w:b/>
                <w:bCs/>
                <w:color w:val="FFFFFF"/>
                <w:sz w:val="20"/>
                <w:szCs w:val="20"/>
              </w:rPr>
              <w:t xml:space="preserve">ENTRADA</w:t>
            </w:r>
          </w:p>
        </w:tc>
        <w:tc>
          <w:tcPr>
            <w:tcW w:type="dxa" w:w="8560"/>
            <w:tcBorders>
              <w:top w:val="single" w:color="538135" w:sz="4"/>
              <w:left w:val="single" w:color="538135" w:sz="4"/>
              <w:bottom w:val="single" w:color="538135" w:sz="4"/>
              <w:right w:val="single" w:color="538135" w:sz="4"/>
            </w:tcBorders>
            <w:tcMar>
              <w:top w:type="dxa" w:w="80"/>
              <w:left w:type="dxa" w:w="120"/>
              <w:bottom w:type="dxa" w:w="80"/>
              <w:right w:type="dxa" w:w="120"/>
            </w:tcMar>
          </w:tcPr>
          <w:p>
            <w:pPr>
              <w:spacing w:after="0"/>
            </w:pPr>
            <w:r>
              <w:rPr>
                <w:rFonts w:ascii="Arial" w:hAnsi="Arial"/>
                <w:b w:val="0"/>
                <w:sz w:val="17"/>
              </w:rPr>
              <w:t>Paciente hospitalizado en el HSMO.</w:t>
            </w:r>
          </w:p>
          <w:p>
            <w:r>
              <w:rPr>
                <w:rFonts w:ascii="Arial" w:hAnsi="Arial"/>
                <w:b w:val="0"/>
                <w:sz w:val="17"/>
              </w:rPr>
              <w:t>Evaluación inicial y valoraciones clínicas en curso.</w:t>
            </w:r>
          </w:p>
          <w:p>
            <w:r>
              <w:rPr>
                <w:rFonts w:ascii="Arial" w:hAnsi="Arial"/>
                <w:b w:val="0"/>
                <w:sz w:val="17"/>
              </w:rPr>
              <w:t>Protocolo institucional de actuación ante hallazgos clínicos relevantes.</w:t>
            </w:r>
          </w:p>
          <w:p>
            <w:r>
              <w:rPr>
                <w:rFonts w:ascii="Arial" w:hAnsi="Arial"/>
                <w:b w:val="0"/>
                <w:sz w:val="17"/>
              </w:rPr>
              <w:t>Listado de áreas clínicas o servicios especializados disponibles (establecimiento o red de referencia).</w:t>
            </w:r>
          </w:p>
        </w:tc>
      </w:tr>
      <w:tr>
        <w:trPr>
          <w:trHeight w:val="4200" w:hRule="atLeast"/>
        </w:trPr>
        <w:tc>
          <w:tcPr>
            <w:tcW w:type="dxa" w:w="800"/>
            <w:tcBorders>
              <w:top w:val="single" w:color="538135" w:sz="4"/>
              <w:left w:val="single" w:color="538135" w:sz="4"/>
              <w:bottom w:val="single" w:color="538135" w:sz="4"/>
              <w:right w:val="single" w:color="538135" w:sz="4"/>
            </w:tcBorders>
            <w:shd w:fill="538135" w:val="clear"/>
            <w:tcMar>
              <w:top w:type="dxa" w:w="60"/>
              <w:left w:type="dxa" w:w="60"/>
              <w:bottom w:type="dxa" w:w="60"/>
              <w:right w:type="dxa" w:w="60"/>
            </w:tcMar>
            <w:textDirection w:val="btLr"/>
            <w:vAlign w:val="center"/>
          </w:tcPr>
          <w:p>
            <w:pPr>
              <w:jc w:val="center"/>
            </w:pPr>
            <w:r>
              <w:rPr>
                <w:rFonts w:ascii="Arial" w:cs="Arial" w:eastAsia="Arial" w:hAnsi="Arial"/>
                <w:b/>
                <w:bCs/>
                <w:color w:val="FFFFFF"/>
                <w:sz w:val="20"/>
                <w:szCs w:val="20"/>
              </w:rPr>
              <w:t xml:space="preserve">ACTIVIDADES</w:t>
            </w:r>
          </w:p>
        </w:tc>
        <w:tc>
          <w:tcPr>
            <w:tcW w:type="dxa" w:w="8560"/>
            <w:tcBorders>
              <w:top w:val="single" w:color="538135" w:sz="4"/>
              <w:left w:val="single" w:color="538135" w:sz="4"/>
              <w:bottom w:val="single" w:color="538135" w:sz="4"/>
              <w:right w:val="single" w:color="538135" w:sz="4"/>
            </w:tcBorders>
            <w:tcMar>
              <w:top w:type="dxa" w:w="80"/>
              <w:left w:type="dxa" w:w="120"/>
              <w:bottom w:type="dxa" w:w="80"/>
              <w:right w:type="dxa" w:w="120"/>
            </w:tcMar>
          </w:tcPr>
          <w:p>
            <w:pPr>
              <w:spacing w:after="0"/>
            </w:pPr>
            <w:r>
              <w:rPr>
                <w:rFonts w:ascii="Arial" w:hAnsi="Arial"/>
                <w:b w:val="0"/>
                <w:sz w:val="17"/>
              </w:rPr>
              <w:t>1. 1. Búsqueda de hallazgos que requieran atención especializada durante la evaluación inicial y valoraciones posteriores.</w:t>
            </w:r>
          </w:p>
          <w:p>
            <w:r>
              <w:rPr>
                <w:rFonts w:ascii="Arial" w:hAnsi="Arial"/>
                <w:b w:val="0"/>
                <w:sz w:val="17"/>
              </w:rPr>
              <w:t>2. 2. Activación de acciones: interconsulta, derivación interna, referencia ambulatoria o información al paciente.</w:t>
            </w:r>
          </w:p>
          <w:p>
            <w:r>
              <w:rPr>
                <w:rFonts w:ascii="Arial" w:hAnsi="Arial"/>
                <w:b w:val="0"/>
                <w:sz w:val="17"/>
              </w:rPr>
              <w:t>3. 3. Garantía de continuidad de la atención especializada.</w:t>
            </w:r>
          </w:p>
          <w:p>
            <w:r>
              <w:rPr>
                <w:rFonts w:ascii="Arial" w:hAnsi="Arial"/>
                <w:b w:val="0"/>
                <w:sz w:val="17"/>
              </w:rPr>
              <w:t>4. 4. Registro y seguimiento en el expediente clínico.</w:t>
            </w:r>
          </w:p>
          <w:p>
            <w:r>
              <w:rPr>
                <w:rFonts w:ascii="Arial" w:hAnsi="Arial"/>
                <w:b w:val="0"/>
                <w:sz w:val="17"/>
              </w:rPr>
              <w:t>5. 5. Integración de resultados al plan terapéutico.</w:t>
            </w:r>
          </w:p>
        </w:tc>
      </w:tr>
      <w:tr>
        <w:trPr>
          <w:trHeight w:val="1800" w:hRule="atLeast"/>
        </w:trPr>
        <w:tc>
          <w:tcPr>
            <w:tcW w:type="dxa" w:w="800"/>
            <w:tcBorders>
              <w:top w:val="single" w:color="538135" w:sz="4"/>
              <w:left w:val="single" w:color="538135" w:sz="4"/>
              <w:bottom w:val="single" w:color="538135" w:sz="4"/>
              <w:right w:val="single" w:color="538135" w:sz="4"/>
            </w:tcBorders>
            <w:shd w:fill="538135" w:val="clear"/>
            <w:tcMar>
              <w:top w:type="dxa" w:w="60"/>
              <w:left w:type="dxa" w:w="60"/>
              <w:bottom w:type="dxa" w:w="60"/>
              <w:right w:type="dxa" w:w="60"/>
            </w:tcMar>
            <w:textDirection w:val="btLr"/>
            <w:vAlign w:val="center"/>
          </w:tcPr>
          <w:p>
            <w:pPr>
              <w:jc w:val="center"/>
            </w:pPr>
            <w:r>
              <w:rPr>
                <w:rFonts w:ascii="Arial" w:cs="Arial" w:eastAsia="Arial" w:hAnsi="Arial"/>
                <w:b/>
                <w:bCs/>
                <w:color w:val="FFFFFF"/>
                <w:sz w:val="20"/>
                <w:szCs w:val="20"/>
              </w:rPr>
              <w:t xml:space="preserve">SALIDA</w:t>
            </w:r>
          </w:p>
        </w:tc>
        <w:tc>
          <w:tcPr>
            <w:tcW w:type="dxa" w:w="8560"/>
            <w:tcBorders>
              <w:top w:val="single" w:color="538135" w:sz="4"/>
              <w:left w:val="single" w:color="538135" w:sz="4"/>
              <w:bottom w:val="single" w:color="538135" w:sz="4"/>
              <w:right w:val="single" w:color="538135" w:sz="4"/>
            </w:tcBorders>
            <w:tcMar>
              <w:top w:type="dxa" w:w="80"/>
              <w:left w:type="dxa" w:w="120"/>
              <w:bottom w:type="dxa" w:w="80"/>
              <w:right w:type="dxa" w:w="120"/>
            </w:tcMar>
          </w:tcPr>
          <w:p>
            <w:pPr>
              <w:spacing w:after="0"/>
            </w:pPr>
            <w:r>
              <w:rPr>
                <w:rFonts w:ascii="Arial" w:hAnsi="Arial"/>
                <w:b w:val="0"/>
                <w:sz w:val="17"/>
              </w:rPr>
              <w:t>Pacientes con necesidad de evaluación especializada identificados oportunamente.</w:t>
            </w:r>
          </w:p>
          <w:p>
            <w:r>
              <w:rPr>
                <w:rFonts w:ascii="Arial" w:hAnsi="Arial"/>
                <w:b w:val="0"/>
                <w:sz w:val="17"/>
              </w:rPr>
              <w:t>Interconsultas, derivaciones o referencias ejecutadas y documentadas en el expediente.</w:t>
            </w:r>
          </w:p>
          <w:p>
            <w:r>
              <w:rPr>
                <w:rFonts w:ascii="Arial" w:hAnsi="Arial"/>
                <w:b w:val="0"/>
                <w:sz w:val="17"/>
              </w:rPr>
              <w:t>Plan terapéutico ajustado con los resultados de las evaluaciones.</w:t>
            </w:r>
          </w:p>
        </w:tc>
      </w:tr>
      <w:tr>
        <w:tc>
          <w:tcPr>
            <w:tcW w:type="dxa" w:w="9360"/>
            <w:gridSpan w:val="2"/>
            <w:tcBorders>
              <w:top w:val="single" w:color="538135" w:sz="4"/>
              <w:left w:val="single" w:color="538135" w:sz="4"/>
              <w:bottom w:val="single" w:color="538135" w:sz="4"/>
              <w:right w:val="single" w:color="538135" w:sz="4"/>
            </w:tcBorders>
            <w:tcMar>
              <w:top w:type="dxa" w:w="40"/>
              <w:left w:type="dxa" w:w="120"/>
              <w:bottom w:type="dxa" w:w="40"/>
              <w:right w:type="dxa" w:w="120"/>
            </w:tcMar>
          </w:tcPr>
          <w:p>
            <w:pPr>
              <w:spacing w:after="0"/>
            </w:pPr>
            <w:r>
              <w:rPr>
                <w:rFonts w:ascii="Arial" w:cs="Arial" w:eastAsia="Arial" w:hAnsi="Arial"/>
                <w:b/>
                <w:bCs/>
                <w:sz w:val="18"/>
                <w:szCs w:val="18"/>
              </w:rPr>
              <w:t xml:space="preserve">Elaboró:</w:t>
            </w:r>
          </w:p>
          <w:p>
            <w:pPr>
              <w:spacing w:after="0"/>
            </w:pPr>
            <w:r>
              <w:rPr>
                <w:rFonts w:ascii="Arial" w:cs="Arial" w:eastAsia="Arial" w:hAnsi="Arial"/>
                <w:sz w:val="18"/>
                <w:szCs w:val="18"/>
              </w:rPr>
              <w:t xml:space="preserve"> </w:t>
            </w:r>
          </w:p>
        </w:tc>
      </w:tr>
      <w:tr>
        <w:tc>
          <w:tcPr>
            <w:tcW w:type="dxa" w:w="9360"/>
            <w:gridSpan w:val="2"/>
            <w:tcBorders>
              <w:top w:val="single" w:color="538135" w:sz="4"/>
              <w:left w:val="single" w:color="538135" w:sz="4"/>
              <w:bottom w:val="single" w:color="538135" w:sz="4"/>
              <w:right w:val="single" w:color="538135" w:sz="4"/>
            </w:tcBorders>
            <w:tcMar>
              <w:top w:type="dxa" w:w="40"/>
              <w:left w:type="dxa" w:w="120"/>
              <w:bottom w:type="dxa" w:w="40"/>
              <w:right w:type="dxa" w:w="120"/>
            </w:tcMar>
          </w:tcPr>
          <w:p>
            <w:pPr>
              <w:spacing w:after="0"/>
            </w:pPr>
            <w:r>
              <w:rPr>
                <w:rFonts w:ascii="Arial" w:cs="Arial" w:eastAsia="Arial" w:hAnsi="Arial"/>
                <w:b/>
                <w:bCs/>
                <w:sz w:val="18"/>
                <w:szCs w:val="18"/>
              </w:rPr>
              <w:t xml:space="preserve">Revisó:</w:t>
            </w:r>
          </w:p>
          <w:p>
            <w:pPr>
              <w:spacing w:after="0"/>
            </w:pPr>
            <w:r>
              <w:rPr>
                <w:rFonts w:ascii="Arial" w:cs="Arial" w:eastAsia="Arial" w:hAnsi="Arial"/>
                <w:sz w:val="18"/>
                <w:szCs w:val="18"/>
              </w:rPr>
              <w:t xml:space="preserve"> </w:t>
            </w:r>
          </w:p>
        </w:tc>
      </w:tr>
      <w:tr>
        <w:tc>
          <w:tcPr>
            <w:tcW w:type="dxa" w:w="9360"/>
            <w:gridSpan w:val="2"/>
            <w:tcBorders>
              <w:top w:val="single" w:color="538135" w:sz="4"/>
              <w:left w:val="single" w:color="538135" w:sz="4"/>
              <w:bottom w:val="single" w:color="538135" w:sz="4"/>
              <w:right w:val="single" w:color="538135" w:sz="4"/>
            </w:tcBorders>
            <w:tcMar>
              <w:top w:type="dxa" w:w="40"/>
              <w:left w:type="dxa" w:w="120"/>
              <w:bottom w:type="dxa" w:w="40"/>
              <w:right w:type="dxa" w:w="120"/>
            </w:tcMar>
          </w:tcPr>
          <w:p>
            <w:pPr>
              <w:spacing w:after="0"/>
            </w:pPr>
            <w:r>
              <w:rPr>
                <w:rFonts w:ascii="Arial" w:cs="Arial" w:eastAsia="Arial" w:hAnsi="Arial"/>
                <w:b/>
                <w:bCs/>
                <w:sz w:val="18"/>
                <w:szCs w:val="18"/>
              </w:rPr>
              <w:t xml:space="preserve">Validó:</w:t>
            </w:r>
          </w:p>
          <w:p>
            <w:pPr>
              <w:spacing w:after="0"/>
            </w:pPr>
            <w:r>
              <w:rPr>
                <w:rFonts w:ascii="Arial" w:cs="Arial" w:eastAsia="Arial" w:hAnsi="Arial"/>
                <w:sz w:val="18"/>
                <w:szCs w:val="18"/>
              </w:rPr>
              <w:t xml:space="preserve"> </w:t>
            </w:r>
          </w:p>
        </w:tc>
      </w:tr>
      <w:tr>
        <w:tc>
          <w:tcPr>
            <w:tcW w:type="dxa" w:w="9360"/>
            <w:gridSpan w:val="2"/>
            <w:tcBorders>
              <w:top w:val="single" w:color="538135" w:sz="4"/>
              <w:left w:val="single" w:color="538135" w:sz="4"/>
              <w:bottom w:val="single" w:color="538135" w:sz="4"/>
              <w:right w:val="single" w:color="538135" w:sz="4"/>
            </w:tcBorders>
            <w:tcMar>
              <w:top w:type="dxa" w:w="40"/>
              <w:left w:type="dxa" w:w="120"/>
              <w:bottom w:type="dxa" w:w="40"/>
              <w:right w:type="dxa" w:w="120"/>
            </w:tcMar>
          </w:tcPr>
          <w:p>
            <w:pPr>
              <w:spacing w:after="0"/>
            </w:pPr>
            <w:r>
              <w:rPr>
                <w:rFonts w:ascii="Arial" w:cs="Arial" w:eastAsia="Arial" w:hAnsi="Arial"/>
                <w:b/>
                <w:bCs/>
                <w:sz w:val="18"/>
                <w:szCs w:val="18"/>
              </w:rPr>
              <w:t xml:space="preserve">Fecha:</w:t>
            </w:r>
          </w:p>
          <w:p>
            <w:pPr>
              <w:spacing w:after="0"/>
            </w:pPr>
            <w:r>
              <w:rPr>
                <w:rFonts w:ascii="Arial" w:cs="Arial" w:eastAsia="Arial" w:hAnsi="Arial"/>
                <w:sz w:val="18"/>
                <w:szCs w:val="18"/>
              </w:rPr>
              <w:t xml:space="preserve"> </w:t>
            </w:r>
          </w:p>
        </w:tc>
      </w:tr>
    </w:tbl>
    <w:p>
      <w:r>
        <w:br w:type="page"/>
      </w:r>
    </w:p>
    <w:p>
      <w:pPr>
        <w:jc w:val="center"/>
      </w:pPr>
      <w:r>
        <w:rPr>
          <w:rFonts w:ascii="Arial" w:hAnsi="Arial"/>
          <w:b/>
          <w:sz w:val="20"/>
        </w:rPr>
        <w:t>HOSPITAL DE SALUD MENTAL ORIZABA "DR. VÍCTOR MANUEL CONCHA VÁSQUEZ"</w:t>
      </w:r>
    </w:p>
    <w:p>
      <w:pPr>
        <w:jc w:val="center"/>
      </w:pPr>
      <w:r>
        <w:rPr>
          <w:rFonts w:ascii="Arial" w:hAnsi="Arial"/>
          <w:color w:val="555555"/>
          <w:sz w:val="18"/>
        </w:rPr>
        <w:t>SERVICIOS DE SALUD DE VERACRUZ — SESVER</w:t>
      </w:r>
    </w:p>
    <w:p>
      <w:pPr>
        <w:jc w:val="center"/>
      </w:pPr>
      <w:r>
        <w:rPr>
          <w:rFonts w:ascii="Arial" w:hAnsi="Arial"/>
          <w:b/>
          <w:color w:val="538135"/>
          <w:sz w:val="22"/>
        </w:rPr>
        <w:t>ALGORITMO DEL PROCESO — A-15 Identificación de la necesidad de evaluaciones especializadas adicionales durante la valoración inicial</w:t>
      </w:r>
    </w:p>
    <w:p>
      <w:pPr>
        <w:jc w:val="center"/>
      </w:pPr>
      <w:r>
        <w:drawing>
          <wp:inline xmlns:a="http://schemas.openxmlformats.org/drawingml/2006/main" xmlns:pic="http://schemas.openxmlformats.org/drawingml/2006/picture">
            <wp:extent cx="6840000" cy="8640000"/>
            <wp:docPr id="1" name="Picture 1"/>
            <wp:cNvGraphicFramePr>
              <a:graphicFrameLocks noChangeAspect="1"/>
            </wp:cNvGraphicFramePr>
            <a:graphic>
              <a:graphicData uri="http://schemas.openxmlformats.org/drawingml/2006/picture">
                <pic:pic>
                  <pic:nvPicPr>
                    <pic:cNvPr id="0" name="a1_algoritmo.png"/>
                    <pic:cNvPicPr/>
                  </pic:nvPicPr>
                  <pic:blipFill>
                    <a:blip r:embed="rId7"/>
                    <a:stretch>
                      <a:fillRect/>
                    </a:stretch>
                  </pic:blipFill>
                  <pic:spPr>
                    <a:xfrm>
                      <a:off x="0" y="0"/>
                      <a:ext cx="6840000" cy="8640000"/>
                    </a:xfrm>
                    <a:prstGeom prst="rect"/>
                  </pic:spPr>
                </pic:pic>
              </a:graphicData>
            </a:graphic>
          </wp:inline>
        </w:drawing>
      </w:r>
    </w:p>
    <w:sectPr>
      <w:pgSz w:w="12240" w:h="15840" w:orient="portrait"/>
      <w:pgMar w:top="576" w:right="576" w:bottom="576" w:left="5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2026-03-13T04:47:40.481Z</dcterms:created>
  <dcterms:modified xsi:type="dcterms:W3CDTF">2026-03-13T04:47:40.482Z</dcterms:modified>
</cp:coreProperties>
</file>

<file path=docProps/custom.xml><?xml version="1.0" encoding="utf-8"?>
<Properties xmlns="http://schemas.openxmlformats.org/officeDocument/2006/custom-properties" xmlns:vt="http://schemas.openxmlformats.org/officeDocument/2006/docPropsVTypes"/>
</file>