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3F7E" w14:textId="77777777" w:rsidR="009E30ED" w:rsidRDefault="00000000">
      <w:pPr>
        <w:spacing w:after="60"/>
        <w:jc w:val="center"/>
      </w:pPr>
      <w:r>
        <w:rPr>
          <w:rFonts w:ascii="Arial" w:eastAsia="Arial" w:hAnsi="Arial" w:cs="Arial"/>
          <w:b/>
          <w:bCs/>
        </w:rPr>
        <w:t>HOSPITAL DE SALUD MENTAL ORIZABA "DR. VÍCTOR MANUEL CONCHA VÁSQUEZ"</w:t>
      </w:r>
    </w:p>
    <w:p w14:paraId="42D176FA" w14:textId="77777777" w:rsidR="009E30ED" w:rsidRDefault="00000000">
      <w:pPr>
        <w:spacing w:after="160"/>
        <w:jc w:val="center"/>
      </w:pPr>
      <w:r>
        <w:rPr>
          <w:rFonts w:ascii="Arial" w:eastAsia="Arial" w:hAnsi="Arial" w:cs="Arial"/>
          <w:color w:val="555555"/>
          <w:sz w:val="18"/>
          <w:szCs w:val="18"/>
        </w:rPr>
        <w:t>SERVICIOS DE SALUD DE VERACRUZ — SESVER</w:t>
      </w:r>
    </w:p>
    <w:tbl>
      <w:tblPr>
        <w:tblpPr w:leftFromText="141" w:rightFromText="141" w:vertAnchor="page" w:horzAnchor="margin" w:tblpXSpec="center" w:tblpY="275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E30ED" w14:paraId="17262EFC" w14:textId="77777777" w:rsidTr="00356D9C">
        <w:tc>
          <w:tcPr>
            <w:tcW w:w="9360" w:type="dxa"/>
            <w:gridSpan w:val="4"/>
            <w:tcBorders>
              <w:top w:val="single" w:sz="4" w:space="0" w:color="538135"/>
              <w:left w:val="single" w:sz="4" w:space="0" w:color="538135"/>
              <w:bottom w:val="single" w:sz="4" w:space="0" w:color="538135"/>
              <w:right w:val="single" w:sz="4" w:space="0" w:color="538135"/>
            </w:tcBorders>
            <w:shd w:val="clear" w:color="auto" w:fill="538135"/>
            <w:tcMar>
              <w:top w:w="60" w:type="dxa"/>
              <w:left w:w="120" w:type="dxa"/>
              <w:bottom w:w="60" w:type="dxa"/>
              <w:right w:w="120" w:type="dxa"/>
            </w:tcMar>
          </w:tcPr>
          <w:p w14:paraId="78CE231E" w14:textId="77777777" w:rsidR="009E30ED" w:rsidRDefault="00000000" w:rsidP="00356D9C">
            <w:pPr>
              <w:jc w:val="center"/>
            </w:pPr>
            <w:r>
              <w:rPr>
                <w:rFonts w:ascii="Arial" w:eastAsia="Arial" w:hAnsi="Arial" w:cs="Arial"/>
                <w:b/>
                <w:bCs/>
                <w:color w:val="FFFFFF"/>
              </w:rPr>
              <w:t>CARTA DE PROCESO</w:t>
            </w:r>
          </w:p>
        </w:tc>
      </w:tr>
      <w:tr w:rsidR="009E30ED" w14:paraId="3A4CD6D9"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2EE54168" w14:textId="77777777" w:rsidR="009E30ED" w:rsidRDefault="00000000" w:rsidP="00356D9C">
            <w:pPr>
              <w:jc w:val="both"/>
            </w:pPr>
            <w:r>
              <w:rPr>
                <w:rFonts w:ascii="Arial" w:hAnsi="Arial"/>
                <w:b/>
                <w:sz w:val="18"/>
              </w:rPr>
              <w:t>Nombre del Proceso:</w:t>
              <w:br/>
              <w:t>Protocolo de manejo y vigilancia epidemiológica de miiasis por gusano barrenador (Cochliomyia hominivorax) en pacientes humanos del HSMO</w:t>
            </w:r>
          </w:p>
        </w:tc>
      </w:tr>
      <w:tr w:rsidR="009E30ED" w14:paraId="254973FC"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30DB03DF" w14:textId="77777777" w:rsidR="009E30ED" w:rsidRDefault="00000000" w:rsidP="00356D9C">
            <w:pPr>
              <w:jc w:val="both"/>
            </w:pPr>
            <w:r>
              <w:rPr>
                <w:rFonts w:ascii="Arial" w:hAnsi="Arial"/>
                <w:b/>
                <w:sz w:val="18"/>
              </w:rPr>
              <w:t>Objetivo:</w:t>
              <w:br/>
              <w:t>Establecer la identificación, manejo clínico y vigilancia epidemiológica de la miiasis por gusano barrenador (Cochliomyia hominivorax) en pacientes del HSMO, conforme al Manual de Procedimientos Estandarizados para la Vigilancia Epidemiológica de Miiasis por C. hominivorax en el humano (Secretaría de Salud, enero 2025), la NOM-017-SSA2-2012 y la Ley General de Salud.</w:t>
            </w:r>
          </w:p>
        </w:tc>
      </w:tr>
      <w:tr w:rsidR="009E30ED" w14:paraId="53B7CD84"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0DF34E36" w14:textId="77777777" w:rsidR="009E30ED" w:rsidRDefault="00000000" w:rsidP="00356D9C">
            <w:pPr>
              <w:jc w:val="both"/>
            </w:pPr>
            <w:r>
              <w:rPr>
                <w:rFonts w:ascii="Arial" w:hAnsi="Arial"/>
                <w:b/>
                <w:sz w:val="18"/>
              </w:rPr>
              <w:t>Alcance del proceso:</w:t>
              <w:br/>
              <w:t>Aplica al personal médico y de enfermería del HSMO ante la sospecha o confirmación de miiasis en cualquier paciente hospitalizado o atendido en urgencias. Aplica la definición operacional de caso probable/confirmado del manual oficial 2025 y las acciones del nivel local (unidades de salud).</w:t>
            </w:r>
          </w:p>
        </w:tc>
      </w:tr>
      <w:tr w:rsidR="009E30ED" w14:paraId="2D753C5A"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4D54134D" w14:textId="77777777" w:rsidR="009E30ED" w:rsidRDefault="00000000" w:rsidP="00356D9C">
            <w:pPr>
              <w:jc w:val="both"/>
            </w:pPr>
            <w:r>
              <w:rPr>
                <w:rFonts w:ascii="Arial" w:hAnsi="Arial"/>
                <w:b/>
                <w:sz w:val="18"/>
              </w:rPr>
              <w:t>Responsable: Médico general adscrito (atención y estudio epidemiológico) y enfermería de hospitalización (notificación: epidemiología hospitalaria)</w:t>
            </w:r>
          </w:p>
        </w:tc>
      </w:tr>
      <w:tr w:rsidR="009E30ED" w14:paraId="2A2A86A0"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05991833" w14:textId="77777777" w:rsidR="009E30ED" w:rsidRDefault="00000000" w:rsidP="00356D9C">
            <w:pPr>
              <w:jc w:val="both"/>
            </w:pPr>
            <w:r>
              <w:rPr>
                <w:rFonts w:ascii="Arial" w:hAnsi="Arial"/>
                <w:b/>
                <w:sz w:val="18"/>
              </w:rPr>
              <w:t>Entrada: (REQUISITOS)</w:t>
              <w:br/>
              <w:t>• Paciente con lesión sospechosa de miiasis (herida con perforaciones, dolor, secreción, larvas visibles o sensación de movimiento en los últimos 7 días)</w:t>
              <w:br/>
              <w:t>• Manual de Procedimientos Estandarizados para la Vigilancia Epidemiológica de Miiasis por C. hominivorax en el humano (enero 2025)</w:t>
              <w:br/>
              <w:t>• Material para exploración y remoción (pinzas finas, vaselina líquida, antiséptico, gasas)</w:t>
              <w:br/>
              <w:t>• Estudio Epidemiológico de Caso (Anexo 17.1 del manual) e Informe Semanal SUIVE-1 (Anexo 17.2)</w:t>
            </w:r>
          </w:p>
        </w:tc>
      </w:tr>
      <w:tr w:rsidR="009E30ED" w14:paraId="48FE6B12"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3C7B78C0" w14:textId="77777777" w:rsidR="009E30ED" w:rsidRDefault="00000000" w:rsidP="00356D9C">
            <w:pPr>
              <w:jc w:val="both"/>
            </w:pPr>
            <w:r>
              <w:rPr>
                <w:rFonts w:ascii="Arial" w:hAnsi="Arial"/>
                <w:b/>
                <w:sz w:val="18"/>
              </w:rPr>
              <w:t>1. Identificación de caso probable conforme a la definición operacional oficial: persona de cualquier edad en la cual, en los últimos 7 días, se identifique en una herida o mucosas presencia de larvas y/o sensación de movimiento, acompañada de dolor o eritema localizado, con asociación epidemiológica (médico adscrito).</w:t>
              <w:br/>
              <w:t>2. Aplicar la NOTA oficial del manual: en personas con trastornos de la sensibilidad o de la conciencia (población psiquiátrica), la herida o mucosas con larvas y eritema, sin otros signos, ya se considera caso probable (médico adscrito).</w:t>
              <w:br/>
              <w:t>3. Confirmación: toma de muestra al 100 % de casos probables y envío al Laboratorio de la Red Nacional de Laboratorios de Salud Pública (RNLSP) para identificación taxonómica (enfermería y médico adscrito).</w:t>
              <w:br/>
              <w:t>4. Atención médica del caso: extracción manual/quirúrgica de las larvas (opcionalmente tras antiparasitario de amplio espectro); facilitar la migración con vaselina, parafina líquida o aceites tópicos; extracción con pinzas cuidando la remoción integral de cada larva, ya que cualquier porción retenida produce inflamación, infección o granuloma (médico adscrito).</w:t>
              <w:br/>
              <w:t>5. Lavado intensivo de la herida con soluciones antisépticas y debridación de tejido necrótico; en casos graves, extirpación quirúrgica con anestesia tópica (médico adscrito).</w:t>
              <w:br/>
              <w:t>6. Tratamiento complementario: antibiótico si es necesario; ivermectina oral reservada para casos seleccionados (uso off-label según el manual oficial); analgesia y profilaxis antitetánica si corresponde (médico adscrito).</w:t>
              <w:br/>
              <w:t>7. Notificación: registrar el 100 % de los casos probables en el Estudio Epidemiológico de Caso (Anexo 17.1) y en el SUIVE-1 (Anexo 17.2), y notificar el 100 % al nivel inmediato superior (Jurisdicción Sanitaria); el estudio epidemiológico es responsabilidad del médico tratante (médico adscrito).</w:t>
              <w:br/>
              <w:t>8. Seguimiento del caso probable o confirmado hasta el alta, hospitalizado o ambulatorio (médico adscrito y enfermería).</w:t>
              <w:br/>
              <w:t>9. Ante brote por probable miiasis por C. hominivorax: notificación inmediata (primeras 24 horas) a la jurisdicción sanitaria; ante defunciones, notificación inmediata igualmente (dirección y epidemiología hospitalaria).</w:t>
              <w:br/>
              <w:t>10. Estudio del entorno del paciente (habitación, materiales, contacto animal) para descartar transmisión hospitalaria; si hubo contacto con los perros del programa TAP, aviso inmediato al programa (conexión con TAP-02) (enfermería y epidemiología).</w:t>
              <w:br/>
              <w:t>11. Registro completo en el expediente clínico: hallazgo, manejo, evolución, notificación; seguimiento hasta cicatrización con ausencia de larvas en dos exploraciones consecutivas.</w:t>
            </w:r>
          </w:p>
        </w:tc>
      </w:tr>
      <w:tr w:rsidR="009E30ED" w14:paraId="3066619A"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35E6EF9" w14:textId="77777777" w:rsidR="009E30ED" w:rsidRDefault="00000000" w:rsidP="00356D9C">
            <w:pPr>
              <w:jc w:val="both"/>
            </w:pPr>
            <w:r>
              <w:rPr>
                <w:rFonts w:ascii="Arial" w:hAnsi="Arial"/>
                <w:b/>
                <w:sz w:val="18"/>
              </w:rPr>
              <w:t>Salida: (RESULTADOS ESPERADOS)</w:t>
              <w:br/>
              <w:t>• Caso identificado, atendido y con seguimiento hasta el alta conforme a la definición operacional oficial</w:t>
              <w:br/>
              <w:t>• Notificación al 100 % de casos probables vía SINAVE (Estudio Epidemiológico 17.1 y SUIVE-1 17.2) a la Jurisdicción Sanitaria</w:t>
              <w:br/>
              <w:t>• Muestra tomada al 100 % de casos probables y enviada a laboratorio RNLSP</w:t>
              <w:br/>
              <w:t>• Medidas de control vectorial aplicadas en el entorno hospitalario si corresponde</w:t>
              <w:br/>
              <w:t>• Expediente clínico completo del caso</w:t>
            </w:r>
          </w:p>
        </w:tc>
      </w:tr>
      <w:tr w:rsidR="009E30ED" w14:paraId="3C2A3AB9" w14:textId="77777777" w:rsidTr="00356D9C">
        <w:tc>
          <w:tcPr>
            <w:tcW w:w="9360" w:type="dxa"/>
            <w:gridSpan w:val="4"/>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2BB2550" w14:textId="77777777" w:rsidR="009E30ED" w:rsidRDefault="00000000" w:rsidP="00356D9C">
            <w:pPr>
              <w:jc w:val="both"/>
            </w:pPr>
            <w:r>
              <w:rPr>
                <w:rFonts w:ascii="Arial" w:hAnsi="Arial"/>
                <w:b/>
                <w:sz w:val="18"/>
              </w:rPr>
              <w:t>Documentos aplicables:</w:t>
              <w:br/>
              <w:t>• Manual de Procedimientos Estandarizados para la Vigilancia Epidemiológica de Miiasis por Cochliomyia hominivorax en el humano, Secretaría de Salud/CONAVE, enero 2025</w:t>
              <w:br/>
              <w:t>• NOM-017-SSA2-2012, vigilancia epidemiológica, red nacional de vigilancia epidemiológica</w:t>
              <w:br/>
              <w:t>• Ley General de Salud (notificación de casos al SINAVE)</w:t>
              <w:br/>
              <w:t>• NOM-045-SSA2-2005 (vigilancia epidemiológica de infecciones nosocomiales)</w:t>
              <w:br/>
              <w:t>• Estudio Epidemiológico de Caso (Anexo 17.1) e Informe Semanal SUIVE-1 (Anexo 17.2) del manual oficial</w:t>
              <w:br/>
              <w:t>• Guía SENASICA/CNMVB sobre C. hominivorax (contexto de zona libre y coordinación interinstitucional)</w:t>
            </w:r>
          </w:p>
        </w:tc>
      </w:tr>
      <w:tr w:rsidR="009E30ED" w14:paraId="21461633" w14:textId="77777777" w:rsidTr="00356D9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3B1BB1EF" w14:textId="77777777" w:rsidR="009E30ED" w:rsidRDefault="00000000" w:rsidP="00356D9C">
            <w:r>
              <w:rPr>
                <w:rFonts w:ascii="Arial" w:eastAsia="Arial" w:hAnsi="Arial" w:cs="Arial"/>
                <w:b/>
                <w:bCs/>
                <w:sz w:val="18"/>
                <w:szCs w:val="18"/>
              </w:rPr>
              <w:t>Elaboró:</w:t>
            </w:r>
          </w:p>
          <w:p w14:paraId="3085F8CA"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1EA6247E" w14:textId="77777777" w:rsidR="009E30ED" w:rsidRDefault="00000000" w:rsidP="00356D9C">
            <w:r>
              <w:rPr>
                <w:rFonts w:ascii="Arial" w:eastAsia="Arial" w:hAnsi="Arial" w:cs="Arial"/>
                <w:b/>
                <w:bCs/>
                <w:sz w:val="18"/>
                <w:szCs w:val="18"/>
              </w:rPr>
              <w:t>Revisó:</w:t>
            </w:r>
          </w:p>
          <w:p w14:paraId="66D2B7B5"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3CDE94F6" w14:textId="77777777" w:rsidR="009E30ED" w:rsidRDefault="00000000" w:rsidP="00356D9C">
            <w:r>
              <w:rPr>
                <w:rFonts w:ascii="Arial" w:eastAsia="Arial" w:hAnsi="Arial" w:cs="Arial"/>
                <w:b/>
                <w:bCs/>
                <w:sz w:val="18"/>
                <w:szCs w:val="18"/>
              </w:rPr>
              <w:t>Validó:</w:t>
            </w:r>
          </w:p>
          <w:p w14:paraId="42058506" w14:textId="77777777" w:rsidR="009E30ED" w:rsidRDefault="00000000" w:rsidP="00356D9C">
            <w:r>
              <w:rPr>
                <w:rFonts w:ascii="Arial" w:eastAsia="Arial" w:hAnsi="Arial" w:cs="Arial"/>
                <w:sz w:val="18"/>
                <w:szCs w:val="18"/>
              </w:rPr>
              <w:t xml:space="preserve"> </w:t>
            </w:r>
          </w:p>
        </w:tc>
        <w:tc>
          <w:tcPr>
            <w:tcW w:w="2340" w:type="dxa"/>
            <w:tcBorders>
              <w:top w:val="single" w:sz="4" w:space="0" w:color="538135"/>
              <w:left w:val="single" w:sz="4" w:space="0" w:color="538135"/>
              <w:bottom w:val="single" w:sz="4" w:space="0" w:color="538135"/>
              <w:right w:val="single" w:sz="4" w:space="0" w:color="538135"/>
            </w:tcBorders>
            <w:tcMar>
              <w:top w:w="50" w:type="dxa"/>
              <w:left w:w="120" w:type="dxa"/>
              <w:bottom w:w="50" w:type="dxa"/>
              <w:right w:w="120" w:type="dxa"/>
            </w:tcMar>
          </w:tcPr>
          <w:p w14:paraId="68CD00FB" w14:textId="77777777" w:rsidR="009E30ED" w:rsidRDefault="00000000" w:rsidP="00356D9C">
            <w:r>
              <w:rPr>
                <w:rFonts w:ascii="Arial" w:eastAsia="Arial" w:hAnsi="Arial" w:cs="Arial"/>
                <w:b/>
                <w:bCs/>
                <w:sz w:val="18"/>
                <w:szCs w:val="18"/>
              </w:rPr>
              <w:t>Fecha:</w:t>
            </w:r>
          </w:p>
          <w:p w14:paraId="1BAB9A2B" w14:textId="77777777" w:rsidR="009E30ED" w:rsidRDefault="00000000" w:rsidP="00356D9C">
            <w:r>
              <w:rPr>
                <w:rFonts w:ascii="Arial" w:eastAsia="Arial" w:hAnsi="Arial" w:cs="Arial"/>
                <w:sz w:val="18"/>
                <w:szCs w:val="18"/>
              </w:rPr>
              <w:t xml:space="preserve"> </w:t>
            </w:r>
          </w:p>
        </w:tc>
      </w:tr>
    </w:tbl>
    <w:p w14:paraId="18CE6D4F" w14:textId="77777777" w:rsidR="009E30ED" w:rsidRDefault="00000000">
      <w:r>
        <w:br w:type="page"/>
      </w:r>
    </w:p>
    <w:p w14:paraId="42442DD1" w14:textId="77777777" w:rsidR="009E30ED" w:rsidRDefault="00000000">
      <w:pPr>
        <w:spacing w:after="60"/>
        <w:jc w:val="center"/>
      </w:pPr>
      <w:r>
        <w:rPr>
          <w:rFonts w:ascii="Arial" w:eastAsia="Arial" w:hAnsi="Arial" w:cs="Arial"/>
          <w:b/>
          <w:bCs/>
        </w:rPr>
        <w:lastRenderedPageBreak/>
        <w:t>HOSPITAL DE SALUD MENTAL ORIZABA "DR. VÍCTOR MANUEL CONCHA VÁSQUEZ"</w:t>
      </w:r>
    </w:p>
    <w:p w14:paraId="4C9E74A8" w14:textId="77777777" w:rsidR="009E30ED" w:rsidRDefault="00000000">
      <w:pPr>
        <w:spacing w:after="160"/>
        <w:jc w:val="center"/>
      </w:pPr>
      <w:r>
        <w:rPr>
          <w:rFonts w:ascii="Arial" w:eastAsia="Arial" w:hAnsi="Arial" w:cs="Arial"/>
          <w:color w:val="555555"/>
          <w:sz w:val="18"/>
          <w:szCs w:val="18"/>
        </w:rPr>
        <w:t>SERVICIOS DE SALUD DE VERACRUZ — SESVER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9E30ED" w14:paraId="4B689046" w14:textId="77777777">
        <w:tc>
          <w:tcPr>
            <w:tcW w:w="9360" w:type="dxa"/>
            <w:gridSpan w:val="2"/>
            <w:tcBorders>
              <w:top w:val="single" w:sz="4" w:space="0" w:color="538135"/>
              <w:left w:val="single" w:sz="4" w:space="0" w:color="538135"/>
              <w:bottom w:val="single" w:sz="4" w:space="0" w:color="538135"/>
              <w:right w:val="single" w:sz="4" w:space="0" w:color="538135"/>
            </w:tcBorders>
            <w:shd w:val="clear" w:color="auto" w:fill="538135"/>
            <w:tcMar>
              <w:top w:w="60" w:type="dxa"/>
              <w:left w:w="120" w:type="dxa"/>
              <w:bottom w:w="60" w:type="dxa"/>
              <w:right w:w="120" w:type="dxa"/>
            </w:tcMar>
          </w:tcPr>
          <w:p w14:paraId="75EE20AD" w14:textId="77777777" w:rsidR="009E30ED" w:rsidRDefault="00000000">
            <w:pPr>
              <w:jc w:val="center"/>
            </w:pPr>
            <w:r>
              <w:rPr>
                <w:rFonts w:ascii="Arial" w:eastAsia="Arial" w:hAnsi="Arial" w:cs="Arial"/>
                <w:b/>
                <w:bCs/>
                <w:color w:val="FFFFFF"/>
              </w:rPr>
              <w:t>MAPA DE PROCESO</w:t>
            </w:r>
          </w:p>
        </w:tc>
      </w:tr>
      <w:tr w:rsidR="009E30ED" w14:paraId="5CAD2AF8" w14:textId="77777777">
        <w:trPr>
          <w:trHeight w:val="18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057397FD" w14:textId="77777777" w:rsidR="009E30ED" w:rsidRDefault="00000000">
            <w:pPr>
              <w:jc w:val="center"/>
            </w:pPr>
            <w:r>
              <w:rPr>
                <w:rFonts w:ascii="Arial" w:hAnsi="Arial"/>
                <w:b/>
                <w:color w:val="FFFFFF"/>
              </w:rPr>
              <w:t>ENTRADA</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3E9A6E1F" w14:textId="77777777" w:rsidR="009E30ED" w:rsidRDefault="00000000">
            <w:r>
              <w:rPr>
                <w:rFonts w:ascii="Arial" w:hAnsi="Arial"/>
                <w:sz w:val="17"/>
              </w:rPr>
              <w:t>• Paciente con lesión sospechosa de miiasis (herida con perforaciones, dolor, secreción, larvas visibles o sensación de movimiento en los últimos 7 días)</w:t>
              <w:br/>
              <w:t>• Manual de Procedimientos Estandarizados para la Vigilancia Epidemiológica de Miiasis por C. hominivorax en el humano (enero 2025)</w:t>
              <w:br/>
              <w:t>• Material para exploración y remoción (pinzas finas, vaselina líquida, antiséptico, gasas)</w:t>
              <w:br/>
              <w:t>• Estudio Epidemiológico de Caso (Anexo 17.1 del manual) e Informe Semanal SUIVE-1 (Anexo 17.2)</w:t>
            </w:r>
          </w:p>
        </w:tc>
      </w:tr>
      <w:tr w:rsidR="009E30ED" w14:paraId="5ECD6788" w14:textId="77777777">
        <w:trPr>
          <w:trHeight w:val="42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7A564E79" w14:textId="77777777" w:rsidR="009E30ED" w:rsidRDefault="00000000">
            <w:pPr>
              <w:jc w:val="center"/>
            </w:pPr>
            <w:r>
              <w:rPr>
                <w:rFonts w:ascii="Arial" w:hAnsi="Arial"/>
                <w:b/>
                <w:color w:val="FFFFFF"/>
              </w:rPr>
              <w:t>ACTIVIDADES</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5C0D64C0" w14:textId="77777777" w:rsidR="009E30ED" w:rsidRDefault="00000000">
            <w:r>
              <w:rPr>
                <w:rFonts w:ascii="Arial" w:hAnsi="Arial"/>
                <w:sz w:val="17"/>
              </w:rPr>
              <w:t>1. Identificación de caso probable conforme a la definición operacional oficial: persona de cualquier edad en la cual, en los últimos 7 días, se identifique en una herida o mucosas presencia de larvas y/o sensación de movimiento, acompañada de dolor o eritema localizado, con asociación epidemiológica (médico adscrito).</w:t>
              <w:br/>
              <w:t>2. Aplicar la NOTA oficial del manual: en personas con trastornos de la sensibilidad o de la conciencia (población psiquiátrica), la herida o mucosas con larvas y eritema, sin otros signos, ya se considera caso probable (médico adscrito).</w:t>
              <w:br/>
              <w:t>3. Confirmación: toma de muestra al 100 % de casos probables y envío al Laboratorio de la Red Nacional de Laboratorios de Salud Pública (RNLSP) para identificación taxonómica (enfermería y médico adscrito).</w:t>
              <w:br/>
              <w:t>4. Atención médica del caso: extracción manual/quirúrgica de las larvas (opcionalmente tras antiparasitario de amplio espectro); facilitar la migración con vaselina, parafina líquida o aceites tópicos; extracción con pinzas cuidando la remoción integral de cada larva, ya que cualquier porción retenida produce inflamación, infección o granuloma (médico adscrito).</w:t>
              <w:br/>
              <w:t>5. Lavado intensivo de la herida con soluciones antisépticas y debridación de tejido necrótico; en casos graves, extirpación quirúrgica con anestesia tópica (médico adscrito).</w:t>
              <w:br/>
              <w:t>6. Tratamiento complementario: antibiótico si es necesario; ivermectina oral reservada para casos seleccionados (uso off-label según el manual oficial); analgesia y profilaxis antitetánica si corresponde (médico adscrito).</w:t>
              <w:br/>
              <w:t>7. Notificación: registrar el 100 % de los casos probables en el Estudio Epidemiológico de Caso (Anexo 17.1) y en el SUIVE-1 (Anexo 17.2), y notificar el 100 % al nivel inmediato superior (Jurisdicción Sanitaria); el estudio epidemiológico es responsabilidad del médico tratante (médico adscrito).</w:t>
              <w:br/>
              <w:t>8. Seguimiento del caso probable o confirmado hasta el alta, hospitalizado o ambulatorio (médico adscrito y enfermería).</w:t>
              <w:br/>
              <w:t>9. Ante brote por probable miiasis por C. hominivorax: notificación inmediata (primeras 24 horas) a la jurisdicción sanitaria; ante defunciones, notificación inmediata igualmente (dirección y epidemiología hospitalaria).</w:t>
              <w:br/>
              <w:t>10. Estudio del entorno del paciente (habitación, materiales, contacto animal) para descartar transmisión hospitalaria; si hubo contacto con los perros del programa TAP, aviso inmediato al programa (conexión con TAP-02) (enfermería y epidemiología).</w:t>
              <w:br/>
              <w:t>11. Registro completo en el expediente clínico: hallazgo, manejo, evolución, notificación; seguimiento hasta cicatrización con ausencia de larvas en dos exploraciones consecutivas.</w:t>
            </w:r>
          </w:p>
        </w:tc>
      </w:tr>
      <w:tr w:rsidR="009E30ED" w14:paraId="6D157B5C" w14:textId="77777777">
        <w:trPr>
          <w:trHeight w:val="1800"/>
        </w:trPr>
        <w:tc>
          <w:tcPr>
            <w:tcW w:w="800" w:type="dxa"/>
            <w:tcBorders>
              <w:top w:val="single" w:sz="4" w:space="0" w:color="538135"/>
              <w:left w:val="single" w:sz="4" w:space="0" w:color="538135"/>
              <w:bottom w:val="single" w:sz="4" w:space="0" w:color="538135"/>
              <w:right w:val="single" w:sz="4" w:space="0" w:color="538135"/>
            </w:tcBorders>
            <w:shd w:val="clear" w:color="auto" w:fill="538135"/>
            <w:tcMar>
              <w:top w:w="60" w:type="dxa"/>
              <w:left w:w="60" w:type="dxa"/>
              <w:bottom w:w="60" w:type="dxa"/>
              <w:right w:w="60" w:type="dxa"/>
            </w:tcMar>
            <w:textDirection w:val="btLr"/>
            <w:vAlign w:val="center"/>
          </w:tcPr>
          <w:p w14:paraId="0909C831" w14:textId="77777777" w:rsidR="009E30ED" w:rsidRDefault="00000000">
            <w:pPr>
              <w:jc w:val="center"/>
            </w:pPr>
            <w:r>
              <w:rPr>
                <w:rFonts w:ascii="Arial" w:hAnsi="Arial"/>
                <w:b/>
                <w:color w:val="FFFFFF"/>
              </w:rPr>
              <w:t>SALIDA</w:t>
            </w:r>
          </w:p>
        </w:tc>
        <w:tc>
          <w:tcPr>
            <w:tcW w:w="8560" w:type="dxa"/>
            <w:tcBorders>
              <w:top w:val="single" w:sz="4" w:space="0" w:color="538135"/>
              <w:left w:val="single" w:sz="4" w:space="0" w:color="538135"/>
              <w:bottom w:val="single" w:sz="4" w:space="0" w:color="538135"/>
              <w:right w:val="single" w:sz="4" w:space="0" w:color="538135"/>
            </w:tcBorders>
            <w:tcMar>
              <w:top w:w="80" w:type="dxa"/>
              <w:left w:w="120" w:type="dxa"/>
              <w:bottom w:w="80" w:type="dxa"/>
              <w:right w:w="120" w:type="dxa"/>
            </w:tcMar>
          </w:tcPr>
          <w:p w14:paraId="5751B5F9" w14:textId="77777777" w:rsidR="009E30ED" w:rsidRDefault="00000000">
            <w:proofErr w:type="spellStart"/>
            <w:proofErr w:type="spellEnd"/>
            <w:r>
              <w:rPr>
                <w:rFonts w:ascii="Arial" w:hAnsi="Arial"/>
                <w:sz w:val="17"/>
              </w:rPr>
              <w:t>• Caso identificado, atendido y con seguimiento hasta el alta conforme a la definición operacional oficial</w:t>
              <w:br/>
              <w:t>• Notificación al 100 % de casos probables vía SINAVE (Estudio Epidemiológico 17.1 y SUIVE-1 17.2) a la Jurisdicción Sanitaria</w:t>
              <w:br/>
              <w:t>• Muestra tomada al 100 % de casos probables y enviada a laboratorio RNLSP</w:t>
              <w:br/>
              <w:t>• Medidas de control vectorial aplicadas en el entorno hospitalario si corresponde</w:t>
              <w:br/>
              <w:t>• Expediente clínico completo del caso</w:t>
            </w:r>
          </w:p>
        </w:tc>
      </w:tr>
      <w:tr w:rsidR="009E30ED" w14:paraId="1E919005"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6C2A65D1" w14:textId="77777777" w:rsidR="009E30ED" w:rsidRDefault="00000000">
            <w:r>
              <w:rPr>
                <w:rFonts w:ascii="Arial" w:eastAsia="Arial" w:hAnsi="Arial" w:cs="Arial"/>
                <w:b/>
                <w:bCs/>
                <w:sz w:val="18"/>
                <w:szCs w:val="18"/>
              </w:rPr>
              <w:t>Elaboró:</w:t>
            </w:r>
          </w:p>
          <w:p w14:paraId="3190E442" w14:textId="77777777" w:rsidR="009E30ED" w:rsidRDefault="00000000">
            <w:r>
              <w:rPr>
                <w:rFonts w:ascii="Arial" w:eastAsia="Arial" w:hAnsi="Arial" w:cs="Arial"/>
                <w:sz w:val="18"/>
                <w:szCs w:val="18"/>
              </w:rPr>
              <w:t xml:space="preserve"> </w:t>
            </w:r>
          </w:p>
        </w:tc>
      </w:tr>
      <w:tr w:rsidR="009E30ED" w14:paraId="550BD7D1"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514ED3B3" w14:textId="77777777" w:rsidR="009E30ED" w:rsidRDefault="00000000">
            <w:r>
              <w:rPr>
                <w:rFonts w:ascii="Arial" w:eastAsia="Arial" w:hAnsi="Arial" w:cs="Arial"/>
                <w:b/>
                <w:bCs/>
                <w:sz w:val="18"/>
                <w:szCs w:val="18"/>
              </w:rPr>
              <w:t>Revisó:</w:t>
            </w:r>
          </w:p>
          <w:p w14:paraId="581C6998" w14:textId="77777777" w:rsidR="009E30ED" w:rsidRDefault="00000000">
            <w:r>
              <w:rPr>
                <w:rFonts w:ascii="Arial" w:eastAsia="Arial" w:hAnsi="Arial" w:cs="Arial"/>
                <w:sz w:val="18"/>
                <w:szCs w:val="18"/>
              </w:rPr>
              <w:t xml:space="preserve"> </w:t>
            </w:r>
          </w:p>
        </w:tc>
      </w:tr>
      <w:tr w:rsidR="009E30ED" w14:paraId="322711F3"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42634079" w14:textId="77777777" w:rsidR="009E30ED" w:rsidRDefault="00000000">
            <w:r>
              <w:rPr>
                <w:rFonts w:ascii="Arial" w:eastAsia="Arial" w:hAnsi="Arial" w:cs="Arial"/>
                <w:b/>
                <w:bCs/>
                <w:sz w:val="18"/>
                <w:szCs w:val="18"/>
              </w:rPr>
              <w:t>Validó:</w:t>
            </w:r>
          </w:p>
          <w:p w14:paraId="74AD29BC" w14:textId="77777777" w:rsidR="009E30ED" w:rsidRDefault="00000000">
            <w:r>
              <w:rPr>
                <w:rFonts w:ascii="Arial" w:eastAsia="Arial" w:hAnsi="Arial" w:cs="Arial"/>
                <w:sz w:val="18"/>
                <w:szCs w:val="18"/>
              </w:rPr>
              <w:t xml:space="preserve"> </w:t>
            </w:r>
          </w:p>
        </w:tc>
      </w:tr>
      <w:tr w:rsidR="009E30ED" w14:paraId="452CDE35" w14:textId="77777777">
        <w:tc>
          <w:tcPr>
            <w:tcW w:w="9360" w:type="dxa"/>
            <w:gridSpan w:val="2"/>
            <w:tcBorders>
              <w:top w:val="single" w:sz="4" w:space="0" w:color="538135"/>
              <w:left w:val="single" w:sz="4" w:space="0" w:color="538135"/>
              <w:bottom w:val="single" w:sz="4" w:space="0" w:color="538135"/>
              <w:right w:val="single" w:sz="4" w:space="0" w:color="538135"/>
            </w:tcBorders>
            <w:tcMar>
              <w:top w:w="40" w:type="dxa"/>
              <w:left w:w="120" w:type="dxa"/>
              <w:bottom w:w="40" w:type="dxa"/>
              <w:right w:w="120" w:type="dxa"/>
            </w:tcMar>
          </w:tcPr>
          <w:p w14:paraId="1FE86C79" w14:textId="77777777" w:rsidR="009E30ED" w:rsidRDefault="00000000">
            <w:r>
              <w:rPr>
                <w:rFonts w:ascii="Arial" w:eastAsia="Arial" w:hAnsi="Arial" w:cs="Arial"/>
                <w:b/>
                <w:bCs/>
                <w:sz w:val="18"/>
                <w:szCs w:val="18"/>
              </w:rPr>
              <w:t>Fecha:</w:t>
            </w:r>
          </w:p>
          <w:p w14:paraId="32962597" w14:textId="77777777" w:rsidR="009E30ED" w:rsidRDefault="00000000">
            <w:r>
              <w:rPr>
                <w:rFonts w:ascii="Arial" w:eastAsia="Arial" w:hAnsi="Arial" w:cs="Arial"/>
                <w:sz w:val="18"/>
                <w:szCs w:val="18"/>
              </w:rPr>
              <w:t xml:space="preserve"> </w:t>
            </w:r>
          </w:p>
        </w:tc>
      </w:tr>
    </w:tbl>
    <w:p w14:paraId="6555749D" w14:textId="77777777" w:rsidR="00B742E0" w:rsidRDefault="00B742E0"/>
    <w:p>
      <w:r>
        <w:br w:type="page"/>
      </w:r>
    </w:p>
    <w:p>
      <w:pPr>
        <w:jc w:val="center"/>
      </w:pPr>
      <w:r>
        <w:rPr>
          <w:b/>
          <w:color w:val="538135"/>
          <w:sz w:val="32"/>
        </w:rPr>
        <w:t>ALGORITMO DEL PROCESO — TAP-03 MIASIS POR GUSANO BARRENADOR — PACIENTES HUMANOS</w:t>
      </w:r>
    </w:p>
    <w:p>
      <w:pPr>
        <w:jc w:val="center"/>
      </w:pPr>
      <w:r>
        <w:drawing>
          <wp:inline xmlns:a="http://schemas.openxmlformats.org/drawingml/2006/main" xmlns:pic="http://schemas.openxmlformats.org/drawingml/2006/picture">
            <wp:extent cx="5040000" cy="763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40000" cy="7632000"/>
                    </a:xfrm>
                    <a:prstGeom prst="rect"/>
                  </pic:spPr>
                </pic:pic>
              </a:graphicData>
            </a:graphic>
          </wp:inline>
        </w:drawing>
      </w:r>
    </w:p>
    <w:sectPr w:rsidR="00B742E0">
      <w:headerReference w:type="even" r:id="rId7"/>
      <w:headerReference w:type="default" r:id="rId8"/>
      <w:footerReference w:type="even" r:id="rId9"/>
      <w:footerReference w:type="default" r:id="rId10"/>
      <w:headerReference w:type="first" r:id="rId11"/>
      <w:footerReference w:type="first" r:id="rId12"/>
      <w:pgSz w:w="12240" w:h="15840"/>
      <w:pgMar w:top="576"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54AF" w14:textId="77777777" w:rsidR="00B137FD" w:rsidRDefault="00B137FD" w:rsidP="00356D9C">
      <w:r>
        <w:separator/>
      </w:r>
    </w:p>
  </w:endnote>
  <w:endnote w:type="continuationSeparator" w:id="0">
    <w:p w14:paraId="0C8FC651" w14:textId="77777777" w:rsidR="00B137FD" w:rsidRDefault="00B137FD" w:rsidP="00356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0A3F" w14:textId="77777777" w:rsidR="00C511CC" w:rsidRDefault="00C511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5A73" w14:textId="77777777" w:rsidR="00C511CC" w:rsidRDefault="00C511C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AE0D" w14:textId="77777777" w:rsidR="00C511CC" w:rsidRDefault="00C511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3B83" w14:textId="77777777" w:rsidR="00B137FD" w:rsidRDefault="00B137FD" w:rsidP="00356D9C">
      <w:r>
        <w:separator/>
      </w:r>
    </w:p>
  </w:footnote>
  <w:footnote w:type="continuationSeparator" w:id="0">
    <w:p w14:paraId="311893EB" w14:textId="77777777" w:rsidR="00B137FD" w:rsidRDefault="00B137FD" w:rsidP="00356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97C1" w14:textId="77777777" w:rsidR="00C511CC" w:rsidRDefault="00C511C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A34A" w14:textId="29728119" w:rsidR="00C511CC" w:rsidRDefault="00C511CC">
    <w:pPr>
      <w:pStyle w:val="Encabezado"/>
    </w:pPr>
    <w:r>
      <w:rPr>
        <w:noProof/>
      </w:rPr>
      <w:drawing>
        <wp:anchor distT="0" distB="0" distL="114300" distR="114300" simplePos="0" relativeHeight="251659264" behindDoc="1" locked="0" layoutInCell="1" allowOverlap="1" wp14:anchorId="28CF5BD9" wp14:editId="27008677">
          <wp:simplePos x="0" y="0"/>
          <wp:positionH relativeFrom="margin">
            <wp:posOffset>-468447</wp:posOffset>
          </wp:positionH>
          <wp:positionV relativeFrom="paragraph">
            <wp:posOffset>-938564</wp:posOffset>
          </wp:positionV>
          <wp:extent cx="8061558" cy="1476375"/>
          <wp:effectExtent l="0" t="0" r="0" b="0"/>
          <wp:wrapNone/>
          <wp:docPr id="641740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0592" name="Imagen 641740592"/>
                  <pic:cNvPicPr/>
                </pic:nvPicPr>
                <pic:blipFill rotWithShape="1">
                  <a:blip r:embed="rId1"/>
                  <a:srcRect b="85295"/>
                  <a:stretch>
                    <a:fillRect/>
                  </a:stretch>
                </pic:blipFill>
                <pic:spPr bwMode="auto">
                  <a:xfrm>
                    <a:off x="0" y="0"/>
                    <a:ext cx="8071940" cy="14782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222F" w14:textId="77777777" w:rsidR="00C511CC" w:rsidRDefault="00C511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93099"/>
    <w:multiLevelType w:val="hybridMultilevel"/>
    <w:tmpl w:val="0FDCF1BC"/>
    <w:lvl w:ilvl="0" w:tplc="83086284">
      <w:start w:val="1"/>
      <w:numFmt w:val="bullet"/>
      <w:lvlText w:val="●"/>
      <w:lvlJc w:val="left"/>
      <w:pPr>
        <w:ind w:left="720" w:hanging="360"/>
      </w:pPr>
    </w:lvl>
    <w:lvl w:ilvl="1" w:tplc="EF60E4B0">
      <w:start w:val="1"/>
      <w:numFmt w:val="bullet"/>
      <w:lvlText w:val="○"/>
      <w:lvlJc w:val="left"/>
      <w:pPr>
        <w:ind w:left="1440" w:hanging="360"/>
      </w:pPr>
    </w:lvl>
    <w:lvl w:ilvl="2" w:tplc="BC54717A">
      <w:start w:val="1"/>
      <w:numFmt w:val="bullet"/>
      <w:lvlText w:val="■"/>
      <w:lvlJc w:val="left"/>
      <w:pPr>
        <w:ind w:left="2160" w:hanging="360"/>
      </w:pPr>
    </w:lvl>
    <w:lvl w:ilvl="3" w:tplc="D4B82C52">
      <w:start w:val="1"/>
      <w:numFmt w:val="bullet"/>
      <w:lvlText w:val="●"/>
      <w:lvlJc w:val="left"/>
      <w:pPr>
        <w:ind w:left="2880" w:hanging="360"/>
      </w:pPr>
    </w:lvl>
    <w:lvl w:ilvl="4" w:tplc="A668765E">
      <w:start w:val="1"/>
      <w:numFmt w:val="bullet"/>
      <w:lvlText w:val="○"/>
      <w:lvlJc w:val="left"/>
      <w:pPr>
        <w:ind w:left="3600" w:hanging="360"/>
      </w:pPr>
    </w:lvl>
    <w:lvl w:ilvl="5" w:tplc="66EAAE86">
      <w:start w:val="1"/>
      <w:numFmt w:val="bullet"/>
      <w:lvlText w:val="■"/>
      <w:lvlJc w:val="left"/>
      <w:pPr>
        <w:ind w:left="4320" w:hanging="360"/>
      </w:pPr>
    </w:lvl>
    <w:lvl w:ilvl="6" w:tplc="D6E837A6">
      <w:start w:val="1"/>
      <w:numFmt w:val="bullet"/>
      <w:lvlText w:val="●"/>
      <w:lvlJc w:val="left"/>
      <w:pPr>
        <w:ind w:left="5040" w:hanging="360"/>
      </w:pPr>
    </w:lvl>
    <w:lvl w:ilvl="7" w:tplc="5E50B2DE">
      <w:start w:val="1"/>
      <w:numFmt w:val="bullet"/>
      <w:lvlText w:val="●"/>
      <w:lvlJc w:val="left"/>
      <w:pPr>
        <w:ind w:left="5760" w:hanging="360"/>
      </w:pPr>
    </w:lvl>
    <w:lvl w:ilvl="8" w:tplc="7CBEEB76">
      <w:start w:val="1"/>
      <w:numFmt w:val="bullet"/>
      <w:lvlText w:val="●"/>
      <w:lvlJc w:val="left"/>
      <w:pPr>
        <w:ind w:left="6480" w:hanging="360"/>
      </w:pPr>
    </w:lvl>
  </w:abstractNum>
  <w:num w:numId="1" w16cid:durableId="2128620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0ED"/>
    <w:rsid w:val="001B112C"/>
    <w:rsid w:val="00356D9C"/>
    <w:rsid w:val="009E30ED"/>
    <w:rsid w:val="00B137FD"/>
    <w:rsid w:val="00B742E0"/>
    <w:rsid w:val="00C511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DD5A2"/>
  <w15:docId w15:val="{8BF66C74-13CA-4A3E-B754-5C3EB31F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56D9C"/>
    <w:pPr>
      <w:tabs>
        <w:tab w:val="center" w:pos="4419"/>
        <w:tab w:val="right" w:pos="8838"/>
      </w:tabs>
    </w:pPr>
  </w:style>
  <w:style w:type="character" w:customStyle="1" w:styleId="EncabezadoCar">
    <w:name w:val="Encabezado Car"/>
    <w:basedOn w:val="Fuentedeprrafopredeter"/>
    <w:link w:val="Encabezado"/>
    <w:uiPriority w:val="99"/>
    <w:rsid w:val="00356D9C"/>
  </w:style>
  <w:style w:type="paragraph" w:styleId="Piedepgina">
    <w:name w:val="footer"/>
    <w:basedOn w:val="Normal"/>
    <w:link w:val="PiedepginaCar"/>
    <w:uiPriority w:val="99"/>
    <w:unhideWhenUsed/>
    <w:rsid w:val="00356D9C"/>
    <w:pPr>
      <w:tabs>
        <w:tab w:val="center" w:pos="4419"/>
        <w:tab w:val="right" w:pos="8838"/>
      </w:tabs>
    </w:pPr>
  </w:style>
  <w:style w:type="character" w:customStyle="1" w:styleId="PiedepginaCar">
    <w:name w:val="Pie de página Car"/>
    <w:basedOn w:val="Fuentedeprrafopredeter"/>
    <w:link w:val="Piedepgina"/>
    <w:uiPriority w:val="99"/>
    <w:rsid w:val="00356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653</Words>
  <Characters>3593</Characters>
  <Application>Microsoft Office Word</Application>
  <DocSecurity>0</DocSecurity>
  <Lines>29</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demiank demiank</cp:lastModifiedBy>
  <cp:revision>3</cp:revision>
  <dcterms:created xsi:type="dcterms:W3CDTF">2026-03-13T04:47:00Z</dcterms:created>
  <dcterms:modified xsi:type="dcterms:W3CDTF">2026-03-13T05:25:00Z</dcterms:modified>
</cp:coreProperties>
</file>