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Diffusion Simulations</w:t>
      </w:r>
    </w:p>
    <w:p>
      <w:r>
        <w:t>To evaluate penetrant transport, 32 molecules of either molecular oxygen or water were inserted into each PET and PEF simulation box before the annealing workflow described above. This procedure was carried out for both polymer force fields, OPLS-AA and QMD-FF, and three independent replicas were generated for each polymer/penetrant/force-field combination. Oxygen was described with the OPLS-AA parameters, whereas water was modeled with the SPC/E scheme. For both force fields, including QMD-FF, polymer-penetrant Lennard-Jones cross interactions were generated using the OPLS-AA combination rules.</w:t>
      </w:r>
    </w:p>
    <w:p>
      <w:r>
        <w:t>After energy minimization and annealing, the systems underwent the same 20 ns density-equilibration stage described above, followed by 1000 ns of production dynamics for diffusion analysis. Coordinates were stored every 5 ps. Before evaluating diffusion, the production trajectories were post-processed with cpptraj. In this step, the penetrant molecules were unwrapped in fractional coordinate space and then projected back into Cartesian coordinates using averaged unit-cell vectors in order to remove apparent displacements arising from box fluctuations under NPT conditions.</w:t>
      </w:r>
    </w:p>
    <w:p>
      <w:r>
        <w:t>Diffusion coefficients were estimated with the DiffusionGLS method of Bullerjahn, von Bulow, and Hummer [DOI:10.1063/5.0008312], as implemented in the present repository. In this approach, the diffusion coefficient is obtained from mean-squared-displacement data through a generalized least-squares treatment that explicitly accounts for the covariance between MSD values at different lag times and yields both uncertainty estimates and a Q-factor for the quality of the diffusive fit. For the present calculations, m = 10 MSD points were used in each lag-time fit. The representative lag time, tc, adopted for the final diffusion estimate was selected separately for each system and ranged from 60 to 95 ns.</w:t>
      </w:r>
    </w:p>
    <w:p>
      <w:r>
        <w:t>For each system, the analysis was repeated over three independent replica boxes. This yielded three box-level diffusion coefficients, each obtained from the 32 penetrant molecules in a given box; these values were then averaged and the inter-replica variability was reported as the standard deviation of the three estimates. In addition, a pooled analysis was performed by combining the 32 penetrant trajectories from each replica into a single data set containing 96 molecular trajectories. The diffusion coefficient from this pooled calculation was taken as the final combined estimate, and its uncertainty was reported as the empirical standard error of the mean returned by the algorithm. Diffusion coefficients are reported in cm^2 s^-1.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