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Times New Roman" w:hAnsi="Times New Roman"/>
          <w:b/>
          <w:color w:val="005696"/>
          <w:sz w:val="32"/>
        </w:rPr>
        <w:t>Wearmap: An open-source Python application for quantitative dental wear image analysis and Puech directionality classification</w:t>
      </w:r>
    </w:p>
    <w:p>
      <w:pPr>
        <w:spacing w:before="0" w:after="40"/>
        <w:jc w:val="left"/>
      </w:pPr>
      <w:r>
        <w:rPr>
          <w:rFonts w:ascii="Times New Roman" w:hAnsi="Times New Roman"/>
          <w:b w:val="0"/>
          <w:i/>
          <w:color w:val="444444"/>
          <w:sz w:val="22"/>
        </w:rPr>
        <w:t>[Author names]</w:t>
      </w:r>
    </w:p>
    <w:p>
      <w:pPr>
        <w:spacing w:before="0" w:after="40"/>
        <w:jc w:val="left"/>
      </w:pPr>
      <w:r>
        <w:rPr>
          <w:rFonts w:ascii="Times New Roman" w:hAnsi="Times New Roman"/>
          <w:b w:val="0"/>
          <w:i/>
          <w:color w:val="444444"/>
          <w:sz w:val="20"/>
        </w:rPr>
        <w:t>[Affiliations]</w:t>
      </w:r>
    </w:p>
    <w:p>
      <w:pPr>
        <w:spacing w:before="0" w:after="200"/>
        <w:jc w:val="left"/>
      </w:pPr>
      <w:r>
        <w:rPr>
          <w:rFonts w:ascii="Times New Roman" w:hAnsi="Times New Roman"/>
          <w:b w:val="0"/>
          <w:i/>
          <w:color w:val="444444"/>
          <w:sz w:val="20"/>
        </w:rPr>
        <w:t>[Corresponding author e-mail]</w:t>
      </w:r>
    </w:p>
    <w:p>
      <w:pPr>
        <w:spacing w:before="80" w:after="80"/>
        <w:pBdr>
          <w:bottom w:val="single" w:sz="4" w:space="1" w:color="AAAAAA"/>
        </w:pBdr>
      </w:pPr>
    </w:p>
    <w:p>
      <w:pPr>
        <w:spacing w:before="280" w:after="80"/>
      </w:pPr>
      <w:r>
        <w:rPr>
          <w:rFonts w:ascii="Times New Roman" w:hAnsi="Times New Roman"/>
          <w:b/>
          <w:color w:val="005696"/>
          <w:sz w:val="28"/>
        </w:rPr>
        <w:t>Abstract</w:t>
      </w:r>
    </w:p>
    <w:p>
      <w:pPr>
        <w:spacing w:before="0" w:after="160"/>
        <w:jc w:val="left"/>
      </w:pPr>
      <w:r>
        <w:rPr>
          <w:rFonts w:ascii="Times New Roman" w:hAnsi="Times New Roman"/>
          <w:b w:val="0"/>
          <w:i w:val="0"/>
          <w:color w:val="1A1A1A"/>
          <w:sz w:val="22"/>
        </w:rPr>
        <w:t>Wearmap is an open-source desktop application written in Python and PyQt6 that provides an integrated environment for quantitative dental wear image analysis. The software enables researchers to perform distance, area, and angle measurements on microscopic and macroscopic dental images, mark pit features with coordinate export, and apply real-world scale calibration using a wide range of physical units (from picometres to metres). A central feature of Wearmap is the automated implementation of the Puech (1983) tooth-wear directionality classification system, which categorises wear striations into four directions—Horizontal (P1), Vertical (P2), Mesiodistal (P3), and Distomesial (P4)—based on the measured slope angle and the lateral side of the tooth. Per-image measurement states are preserved during multi-image navigation, and results are exported to structured Excel workbooks containing both a detailed measurement sheet and a statistical summary sheet with Puech-category counts, mean distances, and standard deviations. Additional tools include non-destructive image filtering, image rotation and mirroring, and a visual scale bar overlay that is embedded directly into exported annotated images. Wearmap is distributed as a self-contained Windows executable and is designed as an open-source alternative to proprietary tools such as SigmaScan Pro, promoting reproducibility and methodological standardisation in paleoanthropological and forensic odontological research.</w:t>
      </w:r>
    </w:p>
    <w:p>
      <w:pPr>
        <w:spacing w:before="200" w:after="80"/>
      </w:pPr>
      <w:r>
        <w:rPr>
          <w:rFonts w:ascii="Times New Roman" w:hAnsi="Times New Roman"/>
          <w:b/>
          <w:color w:val="1A1A1A"/>
          <w:sz w:val="24"/>
        </w:rPr>
        <w:t>Keywords</w:t>
      </w:r>
    </w:p>
    <w:p>
      <w:pPr>
        <w:spacing w:before="0" w:after="200"/>
        <w:jc w:val="left"/>
      </w:pPr>
      <w:r>
        <w:rPr>
          <w:rFonts w:ascii="Times New Roman" w:hAnsi="Times New Roman"/>
          <w:b w:val="0"/>
          <w:i/>
          <w:color w:val="1A1A1A"/>
          <w:sz w:val="20"/>
        </w:rPr>
        <w:t>dental wear • image analysis • Puech classification • Python • open-source • microscopy • paleoanthropology • PyQt6</w:t>
      </w:r>
    </w:p>
    <w:p>
      <w:pPr>
        <w:spacing w:before="80" w:after="80"/>
        <w:pBdr>
          <w:bottom w:val="single" w:sz="4" w:space="1" w:color="AAAAAA"/>
        </w:pBdr>
      </w:pPr>
    </w:p>
    <w:p>
      <w:pPr>
        <w:spacing w:before="280" w:after="80"/>
      </w:pPr>
      <w:r>
        <w:rPr>
          <w:rFonts w:ascii="Times New Roman" w:hAnsi="Times New Roman"/>
          <w:b/>
          <w:color w:val="005696"/>
          <w:sz w:val="28"/>
        </w:rPr>
        <w:t>Code Metadata</w:t>
      </w:r>
    </w:p>
    <w:tbl>
      <w:tblPr>
        <w:tblStyle w:val="TableGrid"/>
        <w:tblW w:type="auto" w:w="0"/>
        <w:tblLook w:firstColumn="1" w:firstRow="1" w:lastColumn="0" w:lastRow="0" w:noHBand="0" w:noVBand="1" w:val="04A0"/>
      </w:tblPr>
      <w:tblGrid>
        <w:gridCol w:w="4703"/>
        <w:gridCol w:w="4703"/>
      </w:tblGrid>
      <w:tr>
        <w:tc>
          <w:tcPr>
            <w:tcW w:type="dxa" w:w="3685"/>
            <w:shd w:val="clear" w:color="auto" w:fill="D6E4F0"/>
          </w:tcPr>
          <w:p>
            <w:r>
              <w:rPr>
                <w:rFonts w:ascii="Times New Roman" w:hAnsi="Times New Roman"/>
                <w:b/>
                <w:color w:val="1A1A1A"/>
                <w:sz w:val="20"/>
              </w:rPr>
              <w:t>Field</w:t>
            </w:r>
          </w:p>
        </w:tc>
        <w:tc>
          <w:tcPr>
            <w:tcW w:type="dxa" w:w="5386"/>
            <w:shd w:val="clear" w:color="auto" w:fill="D6E4F0"/>
          </w:tcPr>
          <w:p>
            <w:r>
              <w:rPr>
                <w:rFonts w:ascii="Times New Roman" w:hAnsi="Times New Roman"/>
                <w:b/>
                <w:color w:val="1A1A1A"/>
                <w:sz w:val="20"/>
              </w:rPr>
              <w:t>Value</w:t>
            </w:r>
          </w:p>
        </w:tc>
      </w:tr>
      <w:tr>
        <w:tc>
          <w:tcPr>
            <w:tcW w:type="dxa" w:w="3685"/>
          </w:tcPr>
          <w:p>
            <w:r>
              <w:rPr>
                <w:rFonts w:ascii="Times New Roman" w:hAnsi="Times New Roman"/>
                <w:color w:val="1A1A1A"/>
                <w:sz w:val="20"/>
              </w:rPr>
              <w:t>Current code version</w:t>
            </w:r>
          </w:p>
        </w:tc>
        <w:tc>
          <w:tcPr>
            <w:tcW w:type="dxa" w:w="5386"/>
          </w:tcPr>
          <w:p>
            <w:r>
              <w:rPr>
                <w:rFonts w:ascii="Times New Roman" w:hAnsi="Times New Roman"/>
                <w:color w:val="1A1A1A"/>
                <w:sz w:val="20"/>
              </w:rPr>
              <w:t>v1.0</w:t>
            </w:r>
          </w:p>
        </w:tc>
      </w:tr>
      <w:tr>
        <w:tc>
          <w:tcPr>
            <w:tcW w:type="dxa" w:w="3685"/>
          </w:tcPr>
          <w:p>
            <w:r>
              <w:rPr>
                <w:rFonts w:ascii="Times New Roman" w:hAnsi="Times New Roman"/>
                <w:color w:val="1A1A1A"/>
                <w:sz w:val="20"/>
              </w:rPr>
              <w:t>Permanent link to executables</w:t>
            </w:r>
          </w:p>
        </w:tc>
        <w:tc>
          <w:tcPr>
            <w:tcW w:type="dxa" w:w="5386"/>
          </w:tcPr>
          <w:p>
            <w:r>
              <w:rPr>
                <w:rFonts w:ascii="Times New Roman" w:hAnsi="Times New Roman"/>
                <w:color w:val="1A1A1A"/>
                <w:sz w:val="20"/>
              </w:rPr>
              <w:t>[URL — to be added upon repository publication]</w:t>
            </w:r>
          </w:p>
        </w:tc>
      </w:tr>
      <w:tr>
        <w:tc>
          <w:tcPr>
            <w:tcW w:type="dxa" w:w="3685"/>
          </w:tcPr>
          <w:p>
            <w:r>
              <w:rPr>
                <w:rFonts w:ascii="Times New Roman" w:hAnsi="Times New Roman"/>
                <w:color w:val="1A1A1A"/>
                <w:sz w:val="20"/>
              </w:rPr>
              <w:t>Legal Software License</w:t>
            </w:r>
          </w:p>
        </w:tc>
        <w:tc>
          <w:tcPr>
            <w:tcW w:type="dxa" w:w="5386"/>
          </w:tcPr>
          <w:p>
            <w:r>
              <w:rPr>
                <w:rFonts w:ascii="Times New Roman" w:hAnsi="Times New Roman"/>
                <w:color w:val="1A1A1A"/>
                <w:sz w:val="20"/>
              </w:rPr>
              <w:t>[To be defined by authors]</w:t>
            </w:r>
          </w:p>
        </w:tc>
      </w:tr>
      <w:tr>
        <w:tc>
          <w:tcPr>
            <w:tcW w:type="dxa" w:w="3685"/>
          </w:tcPr>
          <w:p>
            <w:r>
              <w:rPr>
                <w:rFonts w:ascii="Times New Roman" w:hAnsi="Times New Roman"/>
                <w:color w:val="1A1A1A"/>
                <w:sz w:val="20"/>
              </w:rPr>
              <w:t>Computing platform / OS</w:t>
            </w:r>
          </w:p>
        </w:tc>
        <w:tc>
          <w:tcPr>
            <w:tcW w:type="dxa" w:w="5386"/>
          </w:tcPr>
          <w:p>
            <w:r>
              <w:rPr>
                <w:rFonts w:ascii="Times New Roman" w:hAnsi="Times New Roman"/>
                <w:color w:val="1A1A1A"/>
                <w:sz w:val="20"/>
              </w:rPr>
              <w:t>Microsoft Windows 10 / 11 (64-bit)</w:t>
            </w:r>
          </w:p>
        </w:tc>
      </w:tr>
      <w:tr>
        <w:tc>
          <w:tcPr>
            <w:tcW w:type="dxa" w:w="3685"/>
          </w:tcPr>
          <w:p>
            <w:r>
              <w:rPr>
                <w:rFonts w:ascii="Times New Roman" w:hAnsi="Times New Roman"/>
                <w:color w:val="1A1A1A"/>
                <w:sz w:val="20"/>
              </w:rPr>
              <w:t>Installation requirements &amp; dependencies</w:t>
            </w:r>
          </w:p>
        </w:tc>
        <w:tc>
          <w:tcPr>
            <w:tcW w:type="dxa" w:w="5386"/>
          </w:tcPr>
          <w:p>
            <w:r>
              <w:rPr>
                <w:rFonts w:ascii="Times New Roman" w:hAnsi="Times New Roman"/>
                <w:color w:val="1A1A1A"/>
                <w:sz w:val="20"/>
              </w:rPr>
              <w:t>No installation required; standalone executable provided.</w:t>
              <w:br/>
              <w:t>Source dependencies: Python ≥3.10, PyQt6 ≥6.4, Pillow ≥9.0, NumPy ≥1.21, openpyxl ≥3.0, pyinstaller ≥5.0</w:t>
            </w:r>
          </w:p>
        </w:tc>
      </w:tr>
      <w:tr>
        <w:tc>
          <w:tcPr>
            <w:tcW w:type="dxa" w:w="3685"/>
          </w:tcPr>
          <w:p>
            <w:r>
              <w:rPr>
                <w:rFonts w:ascii="Times New Roman" w:hAnsi="Times New Roman"/>
                <w:color w:val="1A1A1A"/>
                <w:sz w:val="20"/>
              </w:rPr>
              <w:t>Link to user manual</w:t>
            </w:r>
          </w:p>
        </w:tc>
        <w:tc>
          <w:tcPr>
            <w:tcW w:type="dxa" w:w="5386"/>
          </w:tcPr>
          <w:p>
            <w:r>
              <w:rPr>
                <w:rFonts w:ascii="Times New Roman" w:hAnsi="Times New Roman"/>
                <w:color w:val="1A1A1A"/>
                <w:sz w:val="20"/>
              </w:rPr>
              <w:t>Included with distribution (Wearmap_Manual.docx)</w:t>
            </w:r>
          </w:p>
        </w:tc>
      </w:tr>
      <w:tr>
        <w:tc>
          <w:tcPr>
            <w:tcW w:type="dxa" w:w="3685"/>
          </w:tcPr>
          <w:p>
            <w:r>
              <w:rPr>
                <w:rFonts w:ascii="Times New Roman" w:hAnsi="Times New Roman"/>
                <w:color w:val="1A1A1A"/>
                <w:sz w:val="20"/>
              </w:rPr>
              <w:t>Support email for questions</w:t>
            </w:r>
          </w:p>
        </w:tc>
        <w:tc>
          <w:tcPr>
            <w:tcW w:type="dxa" w:w="5386"/>
          </w:tcPr>
          <w:p>
            <w:r>
              <w:rPr>
                <w:rFonts w:ascii="Times New Roman" w:hAnsi="Times New Roman"/>
                <w:color w:val="1A1A1A"/>
                <w:sz w:val="20"/>
              </w:rPr>
              <w:t>[To be added]</w:t>
            </w:r>
          </w:p>
        </w:tc>
      </w:tr>
    </w:tbl>
    <w:p/>
    <w:p>
      <w:pPr>
        <w:spacing w:before="80" w:after="80"/>
        <w:pBdr>
          <w:bottom w:val="single" w:sz="4" w:space="1" w:color="AAAAAA"/>
        </w:pBdr>
      </w:pPr>
    </w:p>
    <w:p>
      <w:pPr>
        <w:spacing w:before="280" w:after="80"/>
      </w:pPr>
      <w:r>
        <w:rPr>
          <w:rFonts w:ascii="Times New Roman" w:hAnsi="Times New Roman"/>
          <w:b/>
          <w:color w:val="005696"/>
          <w:sz w:val="28"/>
        </w:rPr>
        <w:t>1. Motivation and Significance</w:t>
      </w:r>
    </w:p>
    <w:p>
      <w:pPr>
        <w:spacing w:before="0" w:after="120"/>
        <w:jc w:val="left"/>
      </w:pPr>
      <w:r>
        <w:rPr>
          <w:rFonts w:ascii="Times New Roman" w:hAnsi="Times New Roman"/>
          <w:b w:val="0"/>
          <w:i w:val="0"/>
          <w:color w:val="1A1A1A"/>
          <w:sz w:val="22"/>
        </w:rPr>
        <w:t>Dental wear analysis occupies a pivotal role in paleoanthropology, forensic odontology, and archaeological dietary reconstruction. The morphology and directionality of wear facets, striations, and pit features on tooth enamel encode information about diet, food-processing techniques, and tool use across human populations. Quantitative characterisation of these features requires measurement tools capable of operating on high-magnification images obtained by scanning electron microscopy (SEM), confocal microscopy, or macro photography.</w:t>
      </w:r>
    </w:p>
    <w:p>
      <w:pPr>
        <w:spacing w:before="0" w:after="120"/>
        <w:jc w:val="left"/>
      </w:pPr>
      <w:r>
        <w:rPr>
          <w:rFonts w:ascii="Times New Roman" w:hAnsi="Times New Roman"/>
          <w:b w:val="0"/>
          <w:i w:val="0"/>
          <w:color w:val="1A1A1A"/>
          <w:sz w:val="22"/>
        </w:rPr>
        <w:t>The most widely applied framework for classifying wear-striation directionality remains that of Puech (1983), which assigns each measured wear mark to one of four categories—Horizontal (P1), Vertical (P2), Mesiodistal (P3), or Distomesial (P4)—on the basis of the striation slope angle and the anatomical position of the tooth (jaw and side). Despite its widespread adoption, this classification has historically been implemented as post-hoc statistical scripts (typically in SPSS), requiring researchers to export raw angle measurements from image-analysis software, annotate each measurement with its tooth context, and run a separate classification routine. This multi-step workflow is error-prone, time-consuming, and difficult to reproduce across different research groups.</w:t>
      </w:r>
    </w:p>
    <w:p>
      <w:pPr>
        <w:spacing w:before="0" w:after="120"/>
        <w:jc w:val="left"/>
      </w:pPr>
      <w:r>
        <w:rPr>
          <w:rFonts w:ascii="Times New Roman" w:hAnsi="Times New Roman"/>
          <w:b w:val="0"/>
          <w:i w:val="0"/>
          <w:color w:val="1A1A1A"/>
          <w:sz w:val="22"/>
        </w:rPr>
        <w:t>Existing image-analysis solutions present significant limitations for dental wear research. SigmaScan Pro, long the de-facto standard in the field, is a commercial application that is no longer actively maintained and is unavailable on modern 64-bit operating systems. ImageJ/Fiji provides general-purpose measurement tools but lacks integrated Puech classification, real-world calibration to microscopy-relevant units (nanometres, micrometres), or structured statistical export. Purpose-built dental-wear plugins for ImageJ exist but typically address only a subset of the required workflow.</w:t>
      </w:r>
    </w:p>
    <w:p>
      <w:pPr>
        <w:spacing w:before="0" w:after="200"/>
        <w:jc w:val="left"/>
      </w:pPr>
      <w:r>
        <w:rPr>
          <w:rFonts w:ascii="Times New Roman" w:hAnsi="Times New Roman"/>
          <w:b w:val="0"/>
          <w:i w:val="0"/>
          <w:color w:val="1A1A1A"/>
          <w:sz w:val="22"/>
        </w:rPr>
        <w:t>Wearmap addresses these gaps by integrating, in a single open-source desktop application, all steps of the dental wear image-analysis pipeline: image loading and enhancement, measurement with real-world calibration, automated Puech classification based on tooth context, and statistical export. The application is distributed as a self-contained Windows executable requiring no Python installation, lowering the barrier to adoption for non-technical researchers. By releasing Wearmap as open-source software, we also aim to enable community-driven improvements and methodological transparency.</w:t>
      </w:r>
    </w:p>
    <w:p>
      <w:pPr>
        <w:spacing w:before="280" w:after="80"/>
      </w:pPr>
      <w:r>
        <w:rPr>
          <w:rFonts w:ascii="Times New Roman" w:hAnsi="Times New Roman"/>
          <w:b/>
          <w:color w:val="005696"/>
          <w:sz w:val="28"/>
        </w:rPr>
        <w:t>2. Software Description</w:t>
      </w:r>
    </w:p>
    <w:p>
      <w:pPr>
        <w:spacing w:before="200" w:after="80"/>
      </w:pPr>
      <w:r>
        <w:rPr>
          <w:rFonts w:ascii="Times New Roman" w:hAnsi="Times New Roman"/>
          <w:b/>
          <w:color w:val="1A1A1A"/>
          <w:sz w:val="24"/>
        </w:rPr>
        <w:t>2.1 Architecture</w:t>
      </w:r>
    </w:p>
    <w:p>
      <w:pPr>
        <w:spacing w:before="0" w:after="80"/>
        <w:jc w:val="left"/>
      </w:pPr>
      <w:r>
        <w:rPr>
          <w:rFonts w:ascii="Times New Roman" w:hAnsi="Times New Roman"/>
          <w:b w:val="0"/>
          <w:i w:val="0"/>
          <w:color w:val="1A1A1A"/>
          <w:sz w:val="22"/>
        </w:rPr>
        <w:t>Wearmap is structured following a Model–View–Controller (MVC) pattern implemented across four principal Python modules:</w:t>
      </w:r>
    </w:p>
    <w:p>
      <w:pPr>
        <w:pStyle w:val="ListBullet"/>
        <w:spacing w:after="40"/>
        <w:ind w:left="283"/>
      </w:pPr>
      <w:r>
        <w:rPr>
          <w:rFonts w:ascii="Times New Roman" w:hAnsi="Times New Roman"/>
          <w:b/>
          <w:color w:val="1A1A1A"/>
          <w:sz w:val="22"/>
        </w:rPr>
        <w:t>measurements.py —</w:t>
      </w:r>
      <w:r>
        <w:rPr>
          <w:rFonts w:ascii="Times New Roman" w:hAnsi="Times New Roman"/>
          <w:color w:val="1A1A1A"/>
          <w:sz w:val="22"/>
        </w:rPr>
        <w:t xml:space="preserve"> data models (Calibration, Measurement, MeasurementType) and the core compute_puech() function.</w:t>
      </w:r>
    </w:p>
    <w:p>
      <w:pPr>
        <w:pStyle w:val="ListBullet"/>
        <w:spacing w:after="40"/>
        <w:ind w:left="283"/>
      </w:pPr>
      <w:r>
        <w:rPr>
          <w:rFonts w:ascii="Times New Roman" w:hAnsi="Times New Roman"/>
          <w:b/>
          <w:color w:val="1A1A1A"/>
          <w:sz w:val="22"/>
        </w:rPr>
        <w:t>canvas.py —</w:t>
      </w:r>
      <w:r>
        <w:rPr>
          <w:rFonts w:ascii="Times New Roman" w:hAnsi="Times New Roman"/>
          <w:color w:val="1A1A1A"/>
          <w:sz w:val="22"/>
        </w:rPr>
        <w:t xml:space="preserve"> QGraphicsView-based canvas that handles image display, tool interaction, overlay rendering (MeasurementItem), and annotated image export.</w:t>
      </w:r>
    </w:p>
    <w:p>
      <w:pPr>
        <w:pStyle w:val="ListBullet"/>
        <w:spacing w:after="40"/>
        <w:ind w:left="283"/>
      </w:pPr>
      <w:r>
        <w:rPr>
          <w:rFonts w:ascii="Times New Roman" w:hAnsi="Times New Roman"/>
          <w:b/>
          <w:color w:val="1A1A1A"/>
          <w:sz w:val="22"/>
        </w:rPr>
        <w:t>main_window.py —</w:t>
      </w:r>
      <w:r>
        <w:rPr>
          <w:rFonts w:ascii="Times New Roman" w:hAnsi="Times New Roman"/>
          <w:color w:val="1A1A1A"/>
          <w:sz w:val="22"/>
        </w:rPr>
        <w:t xml:space="preserve"> QMainWindow with toolbar, side panel, measurement table, filter controls, and all export logic.</w:t>
      </w:r>
    </w:p>
    <w:p>
      <w:pPr>
        <w:pStyle w:val="ListBullet"/>
        <w:spacing w:after="40"/>
        <w:ind w:left="283"/>
      </w:pPr>
      <w:r>
        <w:rPr>
          <w:rFonts w:ascii="Times New Roman" w:hAnsi="Times New Roman"/>
          <w:b/>
          <w:color w:val="1A1A1A"/>
          <w:sz w:val="22"/>
        </w:rPr>
        <w:t>dialogs.py —</w:t>
      </w:r>
      <w:r>
        <w:rPr>
          <w:rFonts w:ascii="Times New Roman" w:hAnsi="Times New Roman"/>
          <w:color w:val="1A1A1A"/>
          <w:sz w:val="22"/>
        </w:rPr>
        <w:t xml:space="preserve"> modal dialogs for scale calibration and application information.</w:t>
      </w:r>
    </w:p>
    <w:p>
      <w:pPr>
        <w:spacing w:before="80" w:after="160"/>
        <w:jc w:val="left"/>
      </w:pPr>
      <w:r>
        <w:rPr>
          <w:rFonts w:ascii="Times New Roman" w:hAnsi="Times New Roman"/>
          <w:b w:val="0"/>
          <w:i w:val="0"/>
          <w:color w:val="1A1A1A"/>
          <w:sz w:val="22"/>
        </w:rPr>
        <w:t>Measurement overlays are implemented as QGraphicsItem subclasses rendered with cosmetic pens, so line widths remain constant at all zoom levels. Per-image state (measurements, calibration, tooth context) is serialised in memory and restored transparently during folder navigation.</w:t>
      </w:r>
    </w:p>
    <w:p>
      <w:pPr>
        <w:spacing w:before="200" w:after="80"/>
      </w:pPr>
      <w:r>
        <w:rPr>
          <w:rFonts w:ascii="Times New Roman" w:hAnsi="Times New Roman"/>
          <w:b/>
          <w:color w:val="1A1A1A"/>
          <w:sz w:val="24"/>
        </w:rPr>
        <w:t>2.2 Measurement Tools</w:t>
      </w:r>
    </w:p>
    <w:p>
      <w:pPr>
        <w:spacing w:before="0" w:after="80"/>
        <w:jc w:val="left"/>
      </w:pPr>
      <w:r>
        <w:rPr>
          <w:rFonts w:ascii="Times New Roman" w:hAnsi="Times New Roman"/>
          <w:b w:val="0"/>
          <w:i w:val="0"/>
          <w:color w:val="1A1A1A"/>
          <w:sz w:val="22"/>
        </w:rPr>
        <w:t>Wearmap provides six measurement tools, selectable from the toolbar or via keyboard shortcuts:</w:t>
      </w:r>
    </w:p>
    <w:p>
      <w:pPr>
        <w:pStyle w:val="ListBullet"/>
        <w:spacing w:after="40"/>
        <w:ind w:left="283"/>
      </w:pPr>
      <w:r>
        <w:rPr>
          <w:rFonts w:ascii="Times New Roman" w:hAnsi="Times New Roman"/>
          <w:b/>
          <w:color w:val="1A1A1A"/>
          <w:sz w:val="22"/>
        </w:rPr>
        <w:t>Distance (D):</w:t>
      </w:r>
      <w:r>
        <w:rPr>
          <w:rFonts w:ascii="Times New Roman" w:hAnsi="Times New Roman"/>
          <w:color w:val="1A1A1A"/>
          <w:sz w:val="22"/>
        </w:rPr>
        <w:t xml:space="preserve"> two-click line measurement. Displays length, slope angle, and Puech class.</w:t>
      </w:r>
    </w:p>
    <w:p>
      <w:pPr>
        <w:pStyle w:val="ListBullet"/>
        <w:spacing w:after="40"/>
        <w:ind w:left="283"/>
      </w:pPr>
      <w:r>
        <w:rPr>
          <w:rFonts w:ascii="Times New Roman" w:hAnsi="Times New Roman"/>
          <w:b/>
          <w:color w:val="1A1A1A"/>
          <w:sz w:val="22"/>
        </w:rPr>
        <w:t>Area (A):</w:t>
      </w:r>
      <w:r>
        <w:rPr>
          <w:rFonts w:ascii="Times New Roman" w:hAnsi="Times New Roman"/>
          <w:color w:val="1A1A1A"/>
          <w:sz w:val="22"/>
        </w:rPr>
        <w:t xml:space="preserve"> n-vertex polygon with Shoelace-formula area computation. Right-click or double-click to close.</w:t>
      </w:r>
    </w:p>
    <w:p>
      <w:pPr>
        <w:pStyle w:val="ListBullet"/>
        <w:spacing w:after="40"/>
        <w:ind w:left="283"/>
      </w:pPr>
      <w:r>
        <w:rPr>
          <w:rFonts w:ascii="Times New Roman" w:hAnsi="Times New Roman"/>
          <w:b/>
          <w:color w:val="1A1A1A"/>
          <w:sz w:val="22"/>
        </w:rPr>
        <w:t>Angle (G):</w:t>
      </w:r>
      <w:r>
        <w:rPr>
          <w:rFonts w:ascii="Times New Roman" w:hAnsi="Times New Roman"/>
          <w:color w:val="1A1A1A"/>
          <w:sz w:val="22"/>
        </w:rPr>
        <w:t xml:space="preserve"> three-point angle (vertex at second click).</w:t>
      </w:r>
    </w:p>
    <w:p>
      <w:pPr>
        <w:pStyle w:val="ListBullet"/>
        <w:spacing w:after="40"/>
        <w:ind w:left="283"/>
      </w:pPr>
      <w:r>
        <w:rPr>
          <w:rFonts w:ascii="Times New Roman" w:hAnsi="Times New Roman"/>
          <w:b/>
          <w:color w:val="1A1A1A"/>
          <w:sz w:val="22"/>
        </w:rPr>
        <w:t>Count (C):</w:t>
      </w:r>
      <w:r>
        <w:rPr>
          <w:rFonts w:ascii="Times New Roman" w:hAnsi="Times New Roman"/>
          <w:color w:val="1A1A1A"/>
          <w:sz w:val="22"/>
        </w:rPr>
        <w:t xml:space="preserve"> click-to-mark counter with numbered circles; right-click to finalise.</w:t>
      </w:r>
    </w:p>
    <w:p>
      <w:pPr>
        <w:pStyle w:val="ListBullet"/>
        <w:spacing w:after="40"/>
        <w:ind w:left="283"/>
      </w:pPr>
      <w:r>
        <w:rPr>
          <w:rFonts w:ascii="Times New Roman" w:hAnsi="Times New Roman"/>
          <w:b/>
          <w:color w:val="1A1A1A"/>
          <w:sz w:val="22"/>
        </w:rPr>
        <w:t>Pits (P):</w:t>
      </w:r>
      <w:r>
        <w:rPr>
          <w:rFonts w:ascii="Times New Roman" w:hAnsi="Times New Roman"/>
          <w:color w:val="1A1A1A"/>
          <w:sz w:val="22"/>
        </w:rPr>
        <w:t xml:space="preserve"> click-to-place small-dot markers for pit features; coordinates exported per point.</w:t>
      </w:r>
    </w:p>
    <w:p>
      <w:pPr>
        <w:pStyle w:val="ListBullet"/>
        <w:spacing w:after="40"/>
        <w:ind w:left="283"/>
      </w:pPr>
      <w:r>
        <w:rPr>
          <w:rFonts w:ascii="Times New Roman" w:hAnsi="Times New Roman"/>
          <w:b/>
          <w:color w:val="1A1A1A"/>
          <w:sz w:val="22"/>
        </w:rPr>
        <w:t>Calibrate (K):</w:t>
      </w:r>
      <w:r>
        <w:rPr>
          <w:rFonts w:ascii="Times New Roman" w:hAnsi="Times New Roman"/>
          <w:color w:val="1A1A1A"/>
          <w:sz w:val="22"/>
        </w:rPr>
        <w:t xml:space="preserve"> draw a line over a known reference feature, then enter its real-world length and unit.</w:t>
      </w:r>
    </w:p>
    <w:p>
      <w:pPr>
        <w:spacing w:before="80" w:after="160"/>
        <w:jc w:val="left"/>
      </w:pPr>
      <w:r>
        <w:rPr>
          <w:rFonts w:ascii="Times New Roman" w:hAnsi="Times New Roman"/>
          <w:b w:val="0"/>
          <w:i w:val="0"/>
          <w:color w:val="1A1A1A"/>
          <w:sz w:val="22"/>
        </w:rPr>
        <w:t>All measurements are colour-coded, individually visible/hidden, and deletable from the side panel. A Labels toggle (L) hides text overlays without removing measurements, useful when capturing annotated images for publication.</w:t>
      </w:r>
    </w:p>
    <w:p>
      <w:pPr>
        <w:spacing w:before="200" w:after="80"/>
      </w:pPr>
      <w:r>
        <w:rPr>
          <w:rFonts w:ascii="Times New Roman" w:hAnsi="Times New Roman"/>
          <w:b/>
          <w:color w:val="1A1A1A"/>
          <w:sz w:val="24"/>
        </w:rPr>
        <w:t>2.3 Puech Directionality Classification</w:t>
      </w:r>
    </w:p>
    <w:p>
      <w:pPr>
        <w:spacing w:before="0" w:after="120"/>
        <w:jc w:val="left"/>
      </w:pPr>
      <w:r>
        <w:rPr>
          <w:rFonts w:ascii="Times New Roman" w:hAnsi="Times New Roman"/>
          <w:b w:val="0"/>
          <w:i w:val="0"/>
          <w:color w:val="1A1A1A"/>
          <w:sz w:val="22"/>
        </w:rPr>
        <w:t>The automated Puech classification is implemented in compute_puech(angle_deg, jaw, side). The signed slope angle θ ∈ [−90°, 90°] returned by slope_angle() (computed as arctan2(Δy, Δx) after normalising the line direction to left-to-right) is first converted to a normalised angle α ∈ [0°, 180°] following the convention of the original SPSS script: α = θ if θ ≥ 0, else α = 180 + θ.</w:t>
      </w:r>
    </w:p>
    <w:p>
      <w:pPr>
        <w:spacing w:before="0" w:after="80"/>
        <w:jc w:val="left"/>
      </w:pPr>
      <w:r>
        <w:rPr>
          <w:rFonts w:ascii="Times New Roman" w:hAnsi="Times New Roman"/>
          <w:b w:val="0"/>
          <w:i w:val="0"/>
          <w:color w:val="1A1A1A"/>
          <w:sz w:val="22"/>
        </w:rPr>
        <w:t>Five angular zones are then evaluated (Table 1):</w:t>
      </w:r>
    </w:p>
    <w:tbl>
      <w:tblPr>
        <w:tblStyle w:val="TableGrid"/>
        <w:tblW w:type="auto" w:w="0"/>
        <w:tblLook w:firstColumn="1" w:firstRow="1" w:lastColumn="0" w:lastRow="0" w:noHBand="0" w:noVBand="1" w:val="04A0"/>
      </w:tblPr>
      <w:tblGrid>
        <w:gridCol w:w="4703"/>
        <w:gridCol w:w="4703"/>
      </w:tblGrid>
      <w:tr>
        <w:tc>
          <w:tcPr>
            <w:tcW w:type="dxa" w:w="3969"/>
            <w:shd w:val="clear" w:color="auto" w:fill="D6E4F0"/>
          </w:tcPr>
          <w:p>
            <w:r>
              <w:rPr>
                <w:rFonts w:ascii="Times New Roman" w:hAnsi="Times New Roman"/>
                <w:b/>
                <w:color w:val="1A1A1A"/>
                <w:sz w:val="20"/>
              </w:rPr>
              <w:t>Zone (α, normalised)</w:t>
            </w:r>
          </w:p>
        </w:tc>
        <w:tc>
          <w:tcPr>
            <w:tcW w:type="dxa" w:w="5102"/>
            <w:shd w:val="clear" w:color="auto" w:fill="D6E4F0"/>
          </w:tcPr>
          <w:p>
            <w:r>
              <w:rPr>
                <w:rFonts w:ascii="Times New Roman" w:hAnsi="Times New Roman"/>
                <w:b/>
                <w:color w:val="1A1A1A"/>
                <w:sz w:val="20"/>
              </w:rPr>
              <w:t>Puech class</w:t>
            </w:r>
          </w:p>
        </w:tc>
      </w:tr>
      <w:tr>
        <w:tc>
          <w:tcPr>
            <w:tcW w:type="dxa" w:w="3969"/>
          </w:tcPr>
          <w:p>
            <w:r>
              <w:rPr>
                <w:rFonts w:ascii="Times New Roman" w:hAnsi="Times New Roman"/>
                <w:color w:val="1A1A1A"/>
                <w:sz w:val="20"/>
              </w:rPr>
              <w:t>0° – 22.5° and 157.5° – 180°</w:t>
            </w:r>
          </w:p>
        </w:tc>
        <w:tc>
          <w:tcPr>
            <w:tcW w:type="dxa" w:w="5102"/>
          </w:tcPr>
          <w:p>
            <w:r>
              <w:rPr>
                <w:rFonts w:ascii="Times New Roman" w:hAnsi="Times New Roman"/>
                <w:color w:val="1A1A1A"/>
                <w:sz w:val="20"/>
              </w:rPr>
              <w:t>P1 — Horizontal</w:t>
            </w:r>
          </w:p>
        </w:tc>
      </w:tr>
      <w:tr>
        <w:tc>
          <w:tcPr>
            <w:tcW w:type="dxa" w:w="3969"/>
          </w:tcPr>
          <w:p>
            <w:r>
              <w:rPr>
                <w:rFonts w:ascii="Times New Roman" w:hAnsi="Times New Roman"/>
                <w:color w:val="1A1A1A"/>
                <w:sz w:val="20"/>
              </w:rPr>
              <w:t>22.5° – 67.5°  (\  diagonal)</w:t>
            </w:r>
          </w:p>
        </w:tc>
        <w:tc>
          <w:tcPr>
            <w:tcW w:type="dxa" w:w="5102"/>
          </w:tcPr>
          <w:p>
            <w:r>
              <w:rPr>
                <w:rFonts w:ascii="Times New Roman" w:hAnsi="Times New Roman"/>
                <w:color w:val="1A1A1A"/>
                <w:sz w:val="20"/>
              </w:rPr>
              <w:t>P3 Mesiodistal if Lower-Left or Upper-Right;</w:t>
              <w:br/>
              <w:t>P4 Distomesial if Lower-Right or Upper-Left</w:t>
            </w:r>
          </w:p>
        </w:tc>
      </w:tr>
      <w:tr>
        <w:tc>
          <w:tcPr>
            <w:tcW w:type="dxa" w:w="3969"/>
          </w:tcPr>
          <w:p>
            <w:r>
              <w:rPr>
                <w:rFonts w:ascii="Times New Roman" w:hAnsi="Times New Roman"/>
                <w:color w:val="1A1A1A"/>
                <w:sz w:val="20"/>
              </w:rPr>
              <w:t>67.5° – 112.5°</w:t>
            </w:r>
          </w:p>
        </w:tc>
        <w:tc>
          <w:tcPr>
            <w:tcW w:type="dxa" w:w="5102"/>
          </w:tcPr>
          <w:p>
            <w:r>
              <w:rPr>
                <w:rFonts w:ascii="Times New Roman" w:hAnsi="Times New Roman"/>
                <w:color w:val="1A1A1A"/>
                <w:sz w:val="20"/>
              </w:rPr>
              <w:t>P2 — Vertical</w:t>
            </w:r>
          </w:p>
        </w:tc>
      </w:tr>
      <w:tr>
        <w:tc>
          <w:tcPr>
            <w:tcW w:type="dxa" w:w="3969"/>
          </w:tcPr>
          <w:p>
            <w:r>
              <w:rPr>
                <w:rFonts w:ascii="Times New Roman" w:hAnsi="Times New Roman"/>
                <w:color w:val="1A1A1A"/>
                <w:sz w:val="20"/>
              </w:rPr>
              <w:t>112.5° – 157.5°  (/  diagonal)</w:t>
            </w:r>
          </w:p>
        </w:tc>
        <w:tc>
          <w:tcPr>
            <w:tcW w:type="dxa" w:w="5102"/>
          </w:tcPr>
          <w:p>
            <w:r>
              <w:rPr>
                <w:rFonts w:ascii="Times New Roman" w:hAnsi="Times New Roman"/>
                <w:color w:val="1A1A1A"/>
                <w:sz w:val="20"/>
              </w:rPr>
              <w:t>P3 Mesiodistal if Lower-Right or Upper-Left;</w:t>
              <w:br/>
              <w:t>P4 Distomesial if Lower-Left or Upper-Right</w:t>
            </w:r>
          </w:p>
        </w:tc>
      </w:tr>
    </w:tbl>
    <w:p/>
    <w:p>
      <w:pPr>
        <w:spacing w:before="0" w:after="160"/>
        <w:jc w:val="left"/>
      </w:pPr>
      <w:r>
        <w:rPr>
          <w:rFonts w:ascii="Times New Roman" w:hAnsi="Times New Roman"/>
          <w:b w:val="0"/>
          <w:i/>
          <w:color w:val="444444"/>
          <w:sz w:val="18"/>
        </w:rPr>
        <w:t>Table 1. Puech classification zones. For diagonal zones, both jaw and side jointly determine P3/P4: the effective mesiodistal direction depends on whether the tooth pair is Lower-Left / Upper-Right (mesial rightward in buccal view) or Lower-Right / Upper-Left (mesial leftward in buccal view).</w:t>
      </w:r>
    </w:p>
    <w:p>
      <w:pPr>
        <w:spacing w:before="0" w:after="160"/>
        <w:jc w:val="left"/>
      </w:pPr>
      <w:r>
        <w:rPr>
          <w:rFonts w:ascii="Times New Roman" w:hAnsi="Times New Roman"/>
          <w:b w:val="0"/>
          <w:i w:val="0"/>
          <w:color w:val="1A1A1A"/>
          <w:sz w:val="22"/>
        </w:rPr>
        <w:t>The tooth context (jaw, side, tooth type) is set via three drop-down menus in the side panel before measurement and propagates automatically to all Distance measurements in the current image. Changing the context updates all existing classifications in real time.</w:t>
      </w:r>
    </w:p>
    <w:p>
      <w:pPr>
        <w:spacing w:before="200" w:after="80"/>
      </w:pPr>
      <w:r>
        <w:rPr>
          <w:rFonts w:ascii="Times New Roman" w:hAnsi="Times New Roman"/>
          <w:b/>
          <w:color w:val="1A1A1A"/>
          <w:sz w:val="24"/>
        </w:rPr>
        <w:t>2.4 Scale Calibration</w:t>
      </w:r>
    </w:p>
    <w:p>
      <w:pPr>
        <w:spacing w:before="0" w:after="160"/>
        <w:jc w:val="left"/>
      </w:pPr>
      <w:r>
        <w:rPr>
          <w:rFonts w:ascii="Times New Roman" w:hAnsi="Times New Roman"/>
          <w:b w:val="0"/>
          <w:i w:val="0"/>
          <w:color w:val="1A1A1A"/>
          <w:sz w:val="22"/>
        </w:rPr>
        <w:t>Real-world calibration is performed by drawing a Distance line over a scale bar or reference feature of known length, then entering the known value and selecting a unit from a list spanning pm, nm, Å, μm, mm, cm, m, km, in, and ft. The resulting scale factor (real length / pixel length) is applied to all subsequent Distance and Area measurements. Calibration is stored per image and included in all exports.</w:t>
      </w:r>
    </w:p>
    <w:p>
      <w:pPr>
        <w:spacing w:before="200" w:after="80"/>
      </w:pPr>
      <w:r>
        <w:rPr>
          <w:rFonts w:ascii="Times New Roman" w:hAnsi="Times New Roman"/>
          <w:b/>
          <w:color w:val="1A1A1A"/>
          <w:sz w:val="24"/>
        </w:rPr>
        <w:t>2.5 Export</w:t>
      </w:r>
    </w:p>
    <w:p>
      <w:pPr>
        <w:spacing w:before="0" w:after="80"/>
        <w:jc w:val="left"/>
      </w:pPr>
      <w:r>
        <w:rPr>
          <w:rFonts w:ascii="Times New Roman" w:hAnsi="Times New Roman"/>
          <w:b w:val="0"/>
          <w:i w:val="0"/>
          <w:color w:val="1A1A1A"/>
          <w:sz w:val="22"/>
        </w:rPr>
        <w:t>Measurements are exported to Excel (.xlsx), CSV, or tab-separated text. The Excel workbook contains two sheets:</w:t>
      </w:r>
    </w:p>
    <w:p>
      <w:pPr>
        <w:pStyle w:val="ListBullet"/>
        <w:spacing w:after="40"/>
        <w:ind w:left="283"/>
      </w:pPr>
      <w:r>
        <w:rPr>
          <w:rFonts w:ascii="Times New Roman" w:hAnsi="Times New Roman"/>
          <w:b/>
          <w:color w:val="1A1A1A"/>
          <w:sz w:val="22"/>
        </w:rPr>
        <w:t>Detail:</w:t>
      </w:r>
      <w:r>
        <w:rPr>
          <w:rFonts w:ascii="Times New Roman" w:hAnsi="Times New Roman"/>
          <w:color w:val="1A1A1A"/>
          <w:sz w:val="22"/>
        </w:rPr>
        <w:t xml:space="preserve"> one row per measurement, with columns Image, ID, Type, Tooth, Jaw, Side, Unit, Value, Slope (°), Puech, Points (px).</w:t>
      </w:r>
    </w:p>
    <w:p>
      <w:pPr>
        <w:pStyle w:val="ListBullet"/>
        <w:spacing w:after="40"/>
        <w:ind w:left="283"/>
      </w:pPr>
      <w:r>
        <w:rPr>
          <w:rFonts w:ascii="Times New Roman" w:hAnsi="Times New Roman"/>
          <w:b/>
          <w:color w:val="1A1A1A"/>
          <w:sz w:val="22"/>
        </w:rPr>
        <w:t>Summary:</w:t>
      </w:r>
      <w:r>
        <w:rPr>
          <w:rFonts w:ascii="Times New Roman" w:hAnsi="Times New Roman"/>
          <w:color w:val="1A1A1A"/>
          <w:sz w:val="22"/>
        </w:rPr>
        <w:t xml:space="preserve"> one row per Puech category (P1–P4) per image, reporting count, mean distance, and sample standard deviation; a bold TOTAL row aggregates all distance measurements per image.</w:t>
      </w:r>
    </w:p>
    <w:p>
      <w:pPr>
        <w:spacing w:before="80" w:after="160"/>
        <w:jc w:val="left"/>
      </w:pPr>
      <w:r>
        <w:rPr>
          <w:rFonts w:ascii="Times New Roman" w:hAnsi="Times New Roman"/>
          <w:b w:val="0"/>
          <w:i w:val="0"/>
          <w:color w:val="1A1A1A"/>
          <w:sz w:val="22"/>
        </w:rPr>
        <w:t>For CSV/TXT export, two separate files are generated (base name and base name_summary). This structure allows direct import into statistical software for between-group comparisons.</w:t>
      </w:r>
    </w:p>
    <w:p>
      <w:pPr>
        <w:spacing w:before="200" w:after="80"/>
      </w:pPr>
      <w:r>
        <w:rPr>
          <w:rFonts w:ascii="Times New Roman" w:hAnsi="Times New Roman"/>
          <w:b/>
          <w:color w:val="1A1A1A"/>
          <w:sz w:val="24"/>
        </w:rPr>
        <w:t>2.6 Image Enhancement</w:t>
      </w:r>
    </w:p>
    <w:p>
      <w:pPr>
        <w:spacing w:before="0" w:after="200"/>
        <w:jc w:val="left"/>
      </w:pPr>
      <w:r>
        <w:rPr>
          <w:rFonts w:ascii="Times New Roman" w:hAnsi="Times New Roman"/>
          <w:b w:val="0"/>
          <w:i w:val="0"/>
          <w:color w:val="1A1A1A"/>
          <w:sz w:val="22"/>
        </w:rPr>
        <w:t>A non-destructive filter pipeline (implemented via Pillow) offers brightness, contrast, sharpness, and Gaussian blur adjustments (−1 – +100 range), togglable grayscale and colour inversion, and four special presets: Auto Levels, Histogram Equalisation, Edge Detection, and Sharpen. Filters operate on an in-memory copy of the original image; the source file is never modified.</w:t>
      </w:r>
    </w:p>
    <w:p>
      <w:pPr>
        <w:spacing w:before="280" w:after="80"/>
      </w:pPr>
      <w:r>
        <w:rPr>
          <w:rFonts w:ascii="Times New Roman" w:hAnsi="Times New Roman"/>
          <w:b/>
          <w:color w:val="005696"/>
          <w:sz w:val="28"/>
        </w:rPr>
        <w:t>3. Illustrative Example</w:t>
      </w:r>
    </w:p>
    <w:p>
      <w:pPr>
        <w:spacing w:before="0" w:after="120"/>
        <w:jc w:val="left"/>
      </w:pPr>
      <w:r>
        <w:rPr>
          <w:rFonts w:ascii="Times New Roman" w:hAnsi="Times New Roman"/>
          <w:b w:val="0"/>
          <w:i w:val="0"/>
          <w:color w:val="1A1A1A"/>
          <w:sz w:val="22"/>
        </w:rPr>
        <w:t>A typical Wearmap workflow for the quantitative analysis of buccal wear striations on an upper-right first molar (UM1R) proceeds as follows.</w:t>
      </w:r>
    </w:p>
    <w:p>
      <w:pPr>
        <w:spacing w:before="0" w:after="120"/>
        <w:jc w:val="left"/>
      </w:pPr>
      <w:r>
        <w:rPr>
          <w:rFonts w:ascii="Times New Roman" w:hAnsi="Times New Roman"/>
          <w:b w:val="0"/>
          <w:i w:val="0"/>
          <w:color w:val="1A1A1A"/>
          <w:sz w:val="22"/>
        </w:rPr>
        <w:t>The researcher opens a SEM image (TIFF, 2048 × 1536 px) via File → Open Image or drag-and-drop. The Tooth Context panel is immediately configured: Jaw = Upper, Side = Right, Tooth = M1. The calibration tool (K) is then activated; the researcher draws a line over the SEM scale bar (e.g., 100 μm) and enters 100 in the calibration dialog with unit μm. The status bar confirms the resulting pixel scale.</w:t>
      </w:r>
    </w:p>
    <w:p>
      <w:pPr>
        <w:spacing w:before="0" w:after="120"/>
        <w:jc w:val="left"/>
      </w:pPr>
      <w:r>
        <w:rPr>
          <w:rFonts w:ascii="Times New Roman" w:hAnsi="Times New Roman"/>
          <w:b w:val="0"/>
          <w:i w:val="0"/>
          <w:color w:val="1A1A1A"/>
          <w:sz w:val="22"/>
        </w:rPr>
        <w:t>Five wear striations are measured using the Distance tool (D). For each striation, Wearmap displays the length in μm, the normalised slope angle, and the automatically assigned Puech category (e.g., “12.45 μm ↘ 34.2° P3”). If labels obscure underlying morphology, the Labels toggle (L) hides all text overlays while preserving measurements. Two additional pit features are marked with the Pits tool (P); their pixel coordinates will appear in the export.</w:t>
      </w:r>
    </w:p>
    <w:p>
      <w:pPr>
        <w:spacing w:before="0" w:after="120"/>
        <w:jc w:val="left"/>
      </w:pPr>
      <w:r>
        <w:rPr>
          <w:rFonts w:ascii="Times New Roman" w:hAnsi="Times New Roman"/>
          <w:b w:val="0"/>
          <w:i w:val="0"/>
          <w:color w:val="1A1A1A"/>
          <w:sz w:val="22"/>
        </w:rPr>
        <w:t>Export (Ctrl+E) generates measurements.xlsx. The Detail sheet lists all seven measurements with their Puech classes; the Summary sheet shows, for this image, three P3 (Mesiodistal) striations with mean 14.3 μm (SD 2.1 μm), two P4 (Distomesial) striations, and overall statistics in the TOTAL row. The annotated image (File → Save Image, Ctrl+Shift+S) is saved as a PNG at the original SEM resolution with all overlays rendered at native scale, suitable for direct inclusion in publications.</w:t>
      </w:r>
    </w:p>
    <w:p>
      <w:pPr>
        <w:spacing w:before="0" w:after="120"/>
        <w:jc w:val="left"/>
      </w:pPr>
      <w:r>
        <w:rPr>
          <w:rFonts w:ascii="Times New Roman" w:hAnsi="Times New Roman"/>
          <w:b w:val="0"/>
          <w:i w:val="0"/>
          <w:color w:val="1A1A1A"/>
          <w:sz w:val="22"/>
        </w:rPr>
        <w:t>When the researcher opens additional images from the same folder, the ◀ Prev / Next ▶ buttons navigate between them while preserving all measurements and the calibration for each image independently. The final Export aggregates all images into a single workbook.</w:t>
      </w:r>
    </w:p>
    <w:p>
      <w:pPr>
        <w:spacing w:before="0" w:after="200"/>
        <w:jc w:val="left"/>
      </w:pPr>
      <w:r>
        <w:rPr>
          <w:rFonts w:ascii="Times New Roman" w:hAnsi="Times New Roman"/>
          <w:b w:val="0"/>
          <w:i/>
          <w:color w:val="444444"/>
          <w:sz w:val="20"/>
        </w:rPr>
        <w:t>[Figure 1: Screenshot of the Wearmap interface showing a SEM image of a molar with five distance measurements, the Tooth Context panel (Jaw=Upper, Side=Right, Tooth=M1), and the measurement table with Puech classification.]</w:t>
      </w:r>
    </w:p>
    <w:p>
      <w:pPr>
        <w:spacing w:before="280" w:after="80"/>
      </w:pPr>
      <w:r>
        <w:rPr>
          <w:rFonts w:ascii="Times New Roman" w:hAnsi="Times New Roman"/>
          <w:b/>
          <w:color w:val="005696"/>
          <w:sz w:val="28"/>
        </w:rPr>
        <w:t>4. Impact</w:t>
      </w:r>
    </w:p>
    <w:p>
      <w:pPr>
        <w:spacing w:before="0" w:after="120"/>
        <w:jc w:val="left"/>
      </w:pPr>
      <w:r>
        <w:rPr>
          <w:rFonts w:ascii="Times New Roman" w:hAnsi="Times New Roman"/>
          <w:b w:val="0"/>
          <w:i w:val="0"/>
          <w:color w:val="1A1A1A"/>
          <w:sz w:val="22"/>
        </w:rPr>
        <w:t>Wearmap directly addresses the reproducibility deficit in quantitative dental wear research. By encoding the Puech (1983) classification algorithm as an auditable open-source function with a documented test matrix (all jaw × side × angular zone combinations verified), the software eliminates ambiguity in how individual laboratories interpret boundary conditions and side-dependent directionality assignments.</w:t>
      </w:r>
    </w:p>
    <w:p>
      <w:pPr>
        <w:spacing w:before="0" w:after="120"/>
        <w:jc w:val="left"/>
      </w:pPr>
      <w:r>
        <w:rPr>
          <w:rFonts w:ascii="Times New Roman" w:hAnsi="Times New Roman"/>
          <w:b w:val="0"/>
          <w:i w:val="0"/>
          <w:color w:val="1A1A1A"/>
          <w:sz w:val="22"/>
        </w:rPr>
        <w:t>The integrated statistical summary (mean, standard deviation per Puech category per image) produces output directly compatible with between-population comparisons and meta-analyses without requiring post-processing in external statistical packages. Researchers who previously relied on a SigmaScan Pro → SPSS pipeline can now perform the complete analysis in a single session.</w:t>
      </w:r>
    </w:p>
    <w:p>
      <w:pPr>
        <w:spacing w:before="0" w:after="120"/>
        <w:jc w:val="left"/>
      </w:pPr>
      <w:r>
        <w:rPr>
          <w:rFonts w:ascii="Times New Roman" w:hAnsi="Times New Roman"/>
          <w:b w:val="0"/>
          <w:i w:val="0"/>
          <w:color w:val="1A1A1A"/>
          <w:sz w:val="22"/>
        </w:rPr>
        <w:t>Wearmap is applicable beyond paleoanthropology: any discipline requiring directional striation analysis on hard tissues (forensic odontology, tribology, materials characterisation) can benefit from its measurement and export capabilities. The calibration system supports the full range of microscopy scales, from nanometre-level atomic-force microscopy to millimetre-level macro photography.</w:t>
      </w:r>
    </w:p>
    <w:p>
      <w:pPr>
        <w:spacing w:before="0" w:after="200"/>
        <w:jc w:val="left"/>
      </w:pPr>
      <w:r>
        <w:rPr>
          <w:rFonts w:ascii="Times New Roman" w:hAnsi="Times New Roman"/>
          <w:b w:val="0"/>
          <w:i w:val="0"/>
          <w:color w:val="1A1A1A"/>
          <w:sz w:val="22"/>
        </w:rPr>
        <w:t>As a standalone executable, Wearmap requires no Python environment or package management, making it immediately usable by researchers without computational backgrounds. The open-source codebase allows adaptation to additional classification schemes or export formats as community needs evolve.</w:t>
      </w:r>
    </w:p>
    <w:p>
      <w:pPr>
        <w:spacing w:before="280" w:after="80"/>
      </w:pPr>
      <w:r>
        <w:rPr>
          <w:rFonts w:ascii="Times New Roman" w:hAnsi="Times New Roman"/>
          <w:b/>
          <w:color w:val="005696"/>
          <w:sz w:val="28"/>
        </w:rPr>
        <w:t>5. Conclusions</w:t>
      </w:r>
    </w:p>
    <w:p>
      <w:pPr>
        <w:spacing w:before="0" w:after="200"/>
        <w:jc w:val="left"/>
      </w:pPr>
      <w:r>
        <w:rPr>
          <w:rFonts w:ascii="Times New Roman" w:hAnsi="Times New Roman"/>
          <w:b w:val="0"/>
          <w:i w:val="0"/>
          <w:color w:val="1A1A1A"/>
          <w:sz w:val="22"/>
        </w:rPr>
        <w:t>Wearmap provides a complete, open-source solution for quantitative dental wear image analysis, combining flexible measurement tools, automated Puech (1983) directionality classification, real-world scale calibration, non-destructive image enhancement, and structured statistical export in a single desktop application. By eliminating the dependence on proprietary and discontinued software, and by making the classification algorithm fully transparent and verifiable, Wearmap contributes to the methodological standardisation and long-term reproducibility of dental wear research.</w:t>
      </w:r>
    </w:p>
    <w:p>
      <w:pPr>
        <w:spacing w:before="280" w:after="80"/>
      </w:pPr>
      <w:r>
        <w:rPr>
          <w:rFonts w:ascii="Times New Roman" w:hAnsi="Times New Roman"/>
          <w:b/>
          <w:color w:val="005696"/>
          <w:sz w:val="28"/>
        </w:rPr>
        <w:t>Acknowledgements</w:t>
      </w:r>
    </w:p>
    <w:p>
      <w:pPr>
        <w:spacing w:before="0" w:after="200"/>
        <w:jc w:val="left"/>
      </w:pPr>
      <w:r>
        <w:rPr>
          <w:rFonts w:ascii="Times New Roman" w:hAnsi="Times New Roman"/>
          <w:b w:val="0"/>
          <w:i/>
          <w:color w:val="1A1A1A"/>
          <w:sz w:val="22"/>
        </w:rPr>
        <w:t>[To be completed by authors.]</w:t>
      </w:r>
    </w:p>
    <w:p>
      <w:pPr>
        <w:spacing w:before="280" w:after="80"/>
      </w:pPr>
      <w:r>
        <w:rPr>
          <w:rFonts w:ascii="Times New Roman" w:hAnsi="Times New Roman"/>
          <w:b/>
          <w:color w:val="005696"/>
          <w:sz w:val="28"/>
        </w:rPr>
        <w:t>References</w:t>
      </w:r>
    </w:p>
    <w:p>
      <w:pPr>
        <w:spacing w:after="80"/>
        <w:ind w:left="340" w:hanging="340"/>
      </w:pPr>
      <w:r>
        <w:rPr>
          <w:rFonts w:ascii="Times New Roman" w:hAnsi="Times New Roman"/>
          <w:b/>
          <w:color w:val="1A1A1A"/>
          <w:sz w:val="20"/>
        </w:rPr>
        <w:t xml:space="preserve">[1] </w:t>
      </w:r>
      <w:r>
        <w:rPr>
          <w:rFonts w:ascii="Times New Roman" w:hAnsi="Times New Roman"/>
          <w:color w:val="1A1A1A"/>
          <w:sz w:val="20"/>
        </w:rPr>
        <w:t>Puech, P.F. (1983). Tooth wear in La Ferrassie man. American Journal of Physical Anthropology, 61(2), 149–157. https://doi.org/10.1002/ajpa.1330610204</w:t>
      </w:r>
    </w:p>
    <w:p>
      <w:pPr>
        <w:spacing w:after="80"/>
        <w:ind w:left="340" w:hanging="340"/>
      </w:pPr>
      <w:r>
        <w:rPr>
          <w:rFonts w:ascii="Times New Roman" w:hAnsi="Times New Roman"/>
          <w:b/>
          <w:color w:val="1A1A1A"/>
          <w:sz w:val="20"/>
        </w:rPr>
        <w:t xml:space="preserve">[2] </w:t>
      </w:r>
      <w:r>
        <w:rPr>
          <w:rFonts w:ascii="Times New Roman" w:hAnsi="Times New Roman"/>
          <w:color w:val="1A1A1A"/>
          <w:sz w:val="20"/>
        </w:rPr>
        <w:t>Puech, P.F., Albertini, H., &amp; Serratrice, C. (1983). Tooth microwear and dietary patterns in early hominids from Laetoli, Hadar and Olduvai. Journal of Human Evolution, 12(8), 721–729.</w:t>
      </w:r>
    </w:p>
    <w:p>
      <w:pPr>
        <w:spacing w:after="80"/>
        <w:ind w:left="340" w:hanging="340"/>
      </w:pPr>
      <w:r>
        <w:rPr>
          <w:rFonts w:ascii="Times New Roman" w:hAnsi="Times New Roman"/>
          <w:b/>
          <w:color w:val="1A1A1A"/>
          <w:sz w:val="20"/>
        </w:rPr>
        <w:t xml:space="preserve">[3] </w:t>
      </w:r>
      <w:r>
        <w:rPr>
          <w:rFonts w:ascii="Times New Roman" w:hAnsi="Times New Roman"/>
          <w:color w:val="1A1A1A"/>
          <w:sz w:val="20"/>
        </w:rPr>
        <w:t>Brothwell, D.R. (1981). Digging Up Bones (3rd ed.). British Museum (Natural History) / Cornell University Press.</w:t>
      </w:r>
    </w:p>
    <w:p>
      <w:pPr>
        <w:spacing w:after="80"/>
        <w:ind w:left="340" w:hanging="340"/>
      </w:pPr>
      <w:r>
        <w:rPr>
          <w:rFonts w:ascii="Times New Roman" w:hAnsi="Times New Roman"/>
          <w:b/>
          <w:color w:val="1A1A1A"/>
          <w:sz w:val="20"/>
        </w:rPr>
        <w:t xml:space="preserve">[4] </w:t>
      </w:r>
      <w:r>
        <w:rPr>
          <w:rFonts w:ascii="Times New Roman" w:hAnsi="Times New Roman"/>
          <w:color w:val="1A1A1A"/>
          <w:sz w:val="20"/>
        </w:rPr>
        <w:t>Scott, R.S., Ungar, P.S., Bergstrom, T.S., Brown, C.A., Grine, F.E., Teaford, M.F., &amp; Walker, A. (2005). Dental microwear texture analysis shows within-species diet variability in fossil hominins. Nature, 436, 693–695. https://doi.org/10.1038/nature03822</w:t>
      </w:r>
    </w:p>
    <w:p>
      <w:pPr>
        <w:spacing w:after="80"/>
        <w:ind w:left="340" w:hanging="340"/>
      </w:pPr>
      <w:r>
        <w:rPr>
          <w:rFonts w:ascii="Times New Roman" w:hAnsi="Times New Roman"/>
          <w:b/>
          <w:color w:val="1A1A1A"/>
          <w:sz w:val="20"/>
        </w:rPr>
        <w:t xml:space="preserve">[5] </w:t>
      </w:r>
      <w:r>
        <w:rPr>
          <w:rFonts w:ascii="Times New Roman" w:hAnsi="Times New Roman"/>
          <w:color w:val="1A1A1A"/>
          <w:sz w:val="20"/>
        </w:rPr>
        <w:t>Schindelin, J., Arganda-Carreras, I., Frise, E., Kaynig, V., Longair, M., Pietzsch, T., ... &amp; Cardona, A. (2012). Fiji: an open-source platform for biological-image analysis. Nature Methods, 9(7), 676–682. https://doi.org/10.1038/nmeth.2019</w:t>
      </w:r>
    </w:p>
    <w:p>
      <w:pPr>
        <w:spacing w:after="80"/>
        <w:ind w:left="340" w:hanging="340"/>
      </w:pPr>
      <w:r>
        <w:rPr>
          <w:rFonts w:ascii="Times New Roman" w:hAnsi="Times New Roman"/>
          <w:b/>
          <w:color w:val="1A1A1A"/>
          <w:sz w:val="20"/>
        </w:rPr>
        <w:t xml:space="preserve">[6] </w:t>
      </w:r>
      <w:r>
        <w:rPr>
          <w:rFonts w:ascii="Times New Roman" w:hAnsi="Times New Roman"/>
          <w:color w:val="1A1A1A"/>
          <w:sz w:val="20"/>
        </w:rPr>
        <w:t>Riverbank Computing. (2023). PyQt6 Reference Guide. https://www.riverbankcomputing.com/static/Docs/PyQt6/</w:t>
      </w:r>
    </w:p>
    <w:p>
      <w:pPr>
        <w:spacing w:after="80"/>
        <w:ind w:left="340" w:hanging="340"/>
      </w:pPr>
      <w:r>
        <w:rPr>
          <w:rFonts w:ascii="Times New Roman" w:hAnsi="Times New Roman"/>
          <w:b/>
          <w:color w:val="1A1A1A"/>
          <w:sz w:val="20"/>
        </w:rPr>
        <w:t xml:space="preserve">[7] </w:t>
      </w:r>
      <w:r>
        <w:rPr>
          <w:rFonts w:ascii="Times New Roman" w:hAnsi="Times New Roman"/>
          <w:color w:val="1A1A1A"/>
          <w:sz w:val="20"/>
        </w:rPr>
        <w:t>Clark Erskine-Smith, J. et al. (2024). Pillow (PIL Fork) Documentation. https://pillow.readthedocs.io/</w:t>
      </w:r>
    </w:p>
    <w:p>
      <w:pPr>
        <w:spacing w:after="80"/>
        <w:ind w:left="340" w:hanging="340"/>
      </w:pPr>
      <w:r>
        <w:rPr>
          <w:rFonts w:ascii="Times New Roman" w:hAnsi="Times New Roman"/>
          <w:b/>
          <w:color w:val="1A1A1A"/>
          <w:sz w:val="20"/>
        </w:rPr>
        <w:t xml:space="preserve">[8] </w:t>
      </w:r>
      <w:r>
        <w:rPr>
          <w:rFonts w:ascii="Times New Roman" w:hAnsi="Times New Roman"/>
          <w:color w:val="1A1A1A"/>
          <w:sz w:val="20"/>
        </w:rPr>
        <w:t>Harris, C.R., Millman, K.J., van der Walt, S.J. et al. (2020). Array programming with NumPy. Nature, 585, 357–362. https://doi.org/10.1038/s41586-020-2649-2</w:t>
      </w:r>
    </w:p>
    <w:p>
      <w:pPr>
        <w:spacing w:after="80"/>
        <w:ind w:left="340" w:hanging="340"/>
      </w:pPr>
      <w:r>
        <w:rPr>
          <w:rFonts w:ascii="Times New Roman" w:hAnsi="Times New Roman"/>
          <w:b/>
          <w:color w:val="1A1A1A"/>
          <w:sz w:val="20"/>
        </w:rPr>
        <w:t xml:space="preserve">[9] </w:t>
      </w:r>
      <w:r>
        <w:rPr>
          <w:rFonts w:ascii="Times New Roman" w:hAnsi="Times New Roman"/>
          <w:color w:val="1A1A1A"/>
          <w:sz w:val="20"/>
        </w:rPr>
        <w:t>The Pandas Development Team. (2023). openpyxl: A Python library to read/write Excel 2010 xlsx/xlsm files. https://openpyxl.readthedocs.io/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