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B3A5C"/>
        </w:rPr>
        <w:t xml:space="preserve">Guía de prompts para casos de estudio y simulaciones de negocio</w:t>
      </w:r>
    </w:p>
    <w:p>
      <w:pPr>
        <w:spacing w:after="360"/>
        <w:jc w:val="center"/>
      </w:pPr>
      <w:r>
        <w:rPr>
          <w:i/>
          <w:iCs/>
          <w:color w:val="555555"/>
          <w:sz w:val="22"/>
          <w:szCs w:val="22"/>
        </w:rPr>
        <w:t xml:space="preserve">Casos contextualizados, juego de roles con IA y debrief estructurado · Para docentes de administración de empresas</w:t>
      </w:r>
    </w:p>
    <w:p>
      <w:pPr>
        <w:pStyle w:val="Heading1"/>
        <w:spacing w:after="160" w:before="360"/>
      </w:pPr>
      <w:r>
        <w:rPr>
          <w:b/>
          <w:bCs/>
          <w:color w:val="1B3A5C"/>
        </w:rPr>
        <w:t xml:space="preserve">Principios para simular con IA</w:t>
      </w:r>
    </w:p>
    <w:p>
      <w:pPr>
        <w:pStyle w:val="ListParagraph"/>
        <w:numPr>
          <w:ilvl w:val="0"/>
          <w:numId w:val="2"/>
        </w:numPr>
        <w:spacing w:after="80"/>
      </w:pPr>
      <w:r>
        <w:t xml:space="preserve">La IA es un actor de reparto excepcional: sostiene personajes (cliente, inversionista, empleado) con consistencia y paciencia infinitas. El diseño del escenario y el debrief — donde ocurre el aprendizaje — siguen siendo suyos.</w:t>
      </w:r>
    </w:p>
    <w:p>
      <w:pPr>
        <w:pStyle w:val="ListParagraph"/>
        <w:numPr>
          <w:ilvl w:val="0"/>
          <w:numId w:val="2"/>
        </w:numPr>
        <w:spacing w:after="80"/>
      </w:pPr>
      <w:r>
        <w:t xml:space="preserve">Todo dato es ficticio: nombres, empresas y cifras se inventan o anonimizan. Nunca use información real de organizaciones obtenida en consultorías o prácticas.</w:t>
      </w:r>
    </w:p>
    <w:p>
      <w:pPr>
        <w:pStyle w:val="ListParagraph"/>
        <w:numPr>
          <w:ilvl w:val="0"/>
          <w:numId w:val="2"/>
        </w:numPr>
        <w:spacing w:after="80"/>
      </w:pPr>
      <w:r>
        <w:t xml:space="preserve">Calibre la dificultad en el prompt: un personaje «difícil pero persuadible» enseña; uno imposible frustra.</w:t>
      </w:r>
    </w:p>
    <w:p>
      <w:pPr>
        <w:pStyle w:val="Heading1"/>
        <w:spacing w:after="160" w:before="360"/>
      </w:pPr>
      <w:r>
        <w:rPr>
          <w:b/>
          <w:bCs/>
          <w:color w:val="1B3A5C"/>
        </w:rPr>
        <w:t xml:space="preserve">1. Generar un caso contextualizado</w:t>
      </w:r>
    </w:p>
    <w:p>
      <w:pPr>
        <w:pBdr>
          <w:left w:val="single" w:color="C9A227" w:sz="18"/>
        </w:pBdr>
        <w:spacing w:after="200"/>
        <w:ind w:left="504"/>
      </w:pPr>
      <w:r>
        <w:rPr>
          <w:i/>
          <w:iCs/>
        </w:rPr>
        <w:t xml:space="preserve">Redacta un caso de estudio de [800-1200] palabras para un curso de [MATERIA, NIVEL] ambientado en una empresa ficticia de Puerto Rico del sector [SECTOR]. El caso debe: exigir la aplicación de [CONCEPTO/MARCO]; incluir datos cuantitativos realistas pero ficticios (estados financieros resumidos, métricas); reflejar el contexto económico y regulatorio puertorriqueño; presentar un dilema sin solución única; y cerrar con [3-4] preguntas de discusión en niveles de análisis y evaluación. Añade para mí la guía del instructor con las tensiones clave del caso.</w:t>
      </w:r>
    </w:p>
    <w:p>
      <w:pPr>
        <w:pStyle w:val="Heading1"/>
        <w:spacing w:after="160" w:before="360"/>
      </w:pPr>
      <w:r>
        <w:rPr>
          <w:b/>
          <w:bCs/>
          <w:color w:val="1B3A5C"/>
        </w:rPr>
        <w:t xml:space="preserve">2. Juego de roles: la IA como personaje (para estudiantes)</w:t>
      </w:r>
    </w:p>
    <w:p>
      <w:pPr>
        <w:pBdr>
          <w:left w:val="single" w:color="C9A227" w:sz="18"/>
        </w:pBdr>
        <w:spacing w:after="200"/>
        <w:ind w:left="504"/>
      </w:pPr>
      <w:r>
        <w:rPr>
          <w:i/>
          <w:iCs/>
        </w:rPr>
        <w:t xml:space="preserve">Actúa como [PERSONAJE: cliente insatisfecho de un banco / inversionista escéptico ante mi propuesta / empleado que resiste un cambio organizacional]. Contexto: [ESCENARIO BREVE]. Mantente en el personaje: tienes [MOTIVACIONES] y te preocupan [OBJECIONES]. Sé exigente pero realista — puedes ser persuadido solo con argumentos sólidos y empatía genuina. No salgas del personaje ni me des consejos hasta que yo escriba FIN DE SIMULACIÓN; entonces, dame retroalimentación sobre mi desempeño: qué funcionó, qué no, y qué haría un profesional experimentado.</w:t>
      </w:r>
    </w:p>
    <w:p>
      <w:pPr>
        <w:pStyle w:val="Heading1"/>
        <w:spacing w:after="160" w:before="360"/>
      </w:pPr>
      <w:r>
        <w:rPr>
          <w:b/>
          <w:bCs/>
          <w:color w:val="1B3A5C"/>
        </w:rPr>
        <w:t xml:space="preserve">3. Simulación de negociación por fases</w:t>
      </w:r>
    </w:p>
    <w:p>
      <w:pPr>
        <w:pBdr>
          <w:left w:val="single" w:color="C9A227" w:sz="18"/>
        </w:pBdr>
        <w:spacing w:after="200"/>
        <w:ind w:left="504"/>
      </w:pPr>
      <w:r>
        <w:rPr>
          <w:i/>
          <w:iCs/>
        </w:rPr>
        <w:t xml:space="preserve">Simula una negociación de [ESCENARIO: contrato con suplidor / acuerdo salarial / alianza comercial] en tres fases: (1) apertura y posiciones, (2) exploración de intereses, (3) cierre. Actúa como la contraparte con estos intereses ocultos: [DEFINIR]. Yo negocio por [MI PARTE]. Al final de cada fase, pausa y pregúntame mi estrategia para la siguiente antes de continuar. En el debrief final, revela tus intereses ocultos y evalúa si los descubrí.</w:t>
      </w:r>
    </w:p>
    <w:p>
      <w:pPr>
        <w:pStyle w:val="Heading1"/>
        <w:spacing w:after="160" w:before="360"/>
      </w:pPr>
      <w:r>
        <w:rPr>
          <w:b/>
          <w:bCs/>
          <w:color w:val="1B3A5C"/>
        </w:rPr>
        <w:t xml:space="preserve">4. Comité ejecutivo simulado</w:t>
      </w:r>
    </w:p>
    <w:p>
      <w:pPr>
        <w:pBdr>
          <w:left w:val="single" w:color="C9A227" w:sz="18"/>
        </w:pBdr>
        <w:spacing w:after="200"/>
        <w:ind w:left="504"/>
      </w:pPr>
      <w:r>
        <w:rPr>
          <w:i/>
          <w:iCs/>
        </w:rPr>
        <w:t xml:space="preserve">Actúa como un comité ejecutivo de tres miembros con perfiles distintos: el CFO escéptico de los números, la directora de operaciones preocupada por la implementación, y el CEO orientado a la estrategia. Voy a presentarles mi recomendación sobre [CASO/DECISIÓN]. Cada miembro debe interrogarme desde su perfil, con preguntas de seguimiento cuando mis respuestas sean débiles. Al final, el comité delibera «en voz alta» y vota — con razones.»</w:t>
      </w:r>
    </w:p>
    <w:p>
      <w:pPr>
        <w:pStyle w:val="Heading1"/>
        <w:spacing w:after="160" w:before="360"/>
      </w:pPr>
      <w:r>
        <w:rPr>
          <w:b/>
          <w:bCs/>
          <w:color w:val="1B3A5C"/>
        </w:rPr>
        <w:t xml:space="preserve">5. Debrief estructurado (uso del docente)</w:t>
      </w:r>
    </w:p>
    <w:p>
      <w:pPr>
        <w:pBdr>
          <w:left w:val="single" w:color="C9A227" w:sz="18"/>
        </w:pBdr>
        <w:spacing w:after="200"/>
        <w:ind w:left="504"/>
      </w:pPr>
      <w:r>
        <w:rPr>
          <w:i/>
          <w:iCs/>
        </w:rPr>
        <w:t xml:space="preserve">Diseña el debrief de 20 minutos para una simulación de [ESCENARIO] que mis estudiantes acaban de completar con IA. Estructura: (1) tres preguntas de descompresión emocional, (2) tres preguntas de análisis conectadas con [CONCEPTO DEL CURSO], (3) una pregunta de transferencia a contextos reales de Puerto Rico, y (4) un cierre de síntesis de 2 minutos para mí. Incluye las respuestas que debo esperar y las ideas erróneas que debo corregir.</w:t>
      </w:r>
    </w:p>
    <w:p>
      <w:pPr>
        <w:pStyle w:val="Heading1"/>
        <w:spacing w:after="160" w:before="360"/>
      </w:pPr>
      <w:r>
        <w:rPr>
          <w:b/>
          <w:bCs/>
          <w:color w:val="1B3A5C"/>
        </w:rPr>
        <w:t xml:space="preserve">6. Variantes de un caso para secciones múltiples</w:t>
      </w:r>
    </w:p>
    <w:p>
      <w:pPr>
        <w:pBdr>
          <w:left w:val="single" w:color="C9A227" w:sz="18"/>
        </w:pBdr>
        <w:spacing w:after="200"/>
        <w:ind w:left="504"/>
      </w:pPr>
      <w:r>
        <w:rPr>
          <w:i/>
          <w:iCs/>
        </w:rPr>
        <w:t xml:space="preserve">Toma este caso base: [PEGAR O DESCRIBIR]. Genera [N] variantes que conserven los mismos objetivos de aprendizaje y nivel de dificultad pero cambien: sector, personajes, cifras y el matiz del dilema central. Las variantes deben ser lo bastante distintas para que las soluciones no sean transferibles entre secciones del curso. Entrégame una tabla comparativa de las variantes con sus diferencias clave.</w:t>
      </w:r>
    </w:p>
    <w:p>
      <w:pPr>
        <w:pStyle w:val="Heading1"/>
        <w:spacing w:after="160" w:before="360"/>
      </w:pPr>
      <w:r>
        <w:rPr>
          <w:b/>
          <w:bCs/>
          <w:color w:val="1B3A5C"/>
        </w:rPr>
        <w:t xml:space="preserve">Recordatorio final</w:t>
      </w:r>
    </w:p>
    <w:p>
      <w:pPr>
        <w:spacing w:after="160"/>
        <w:jc w:val="both"/>
      </w:pPr>
      <w:r>
        <w:t xml:space="preserve">La simulación con IA democratiza una pedagogía que antes exigía actores o grupos grandes: ahora cada estudiante puede negociar, presentar y gestionar conflictos tantas veces como necesite. Pero la simulación sin debrief es solo un juego — reserve siempre el tiempo de clase para convertir la experiencia en aprendizaje. Combine con nuestra rúbrica de defensa oral si la presentación al «comité» es evaluada.</w:t>
      </w:r>
    </w:p>
    <w:p>
      <w:pPr>
        <w:pBdr>
          <w:top w:val="single" w:color="C9A227" w:sz="6"/>
        </w:pBdr>
        <w:spacing w:before="400"/>
        <w:jc w:val="center"/>
      </w:pPr>
      <w:r>
        <w:rPr>
          <w:i/>
          <w:iCs/>
          <w:color w:val="777777"/>
          <w:sz w:val="17"/>
          <w:szCs w:val="17"/>
        </w:rPr>
        <w:t xml:space="preserve">La Inteligencia Artificial en el Salón de Clases · Boletín semanal para profesores universitarios · Pontificia Universidad Católica de Puerto Rico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2026-10-11T13:24:27.418Z</dcterms:created>
  <dcterms:modified xsi:type="dcterms:W3CDTF">2026-10-11T13:24:27.418Z</dcterms:modified>
</cp:coreProperties>
</file>

<file path=docProps/custom.xml><?xml version="1.0" encoding="utf-8"?>
<Properties xmlns="http://schemas.openxmlformats.org/officeDocument/2006/custom-properties" xmlns:vt="http://schemas.openxmlformats.org/officeDocument/2006/docPropsVTypes"/>
</file>