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color w:val="1B3A5C"/>
        </w:rPr>
        <w:t xml:space="preserve">Plantilla de política de IA para departamentos y facultades</w:t>
      </w:r>
    </w:p>
    <w:p>
      <w:pPr>
        <w:spacing w:after="360"/>
        <w:jc w:val="center"/>
      </w:pPr>
      <w:r>
        <w:rPr>
          <w:i/>
          <w:iCs/>
          <w:color w:val="555555"/>
          <w:sz w:val="22"/>
          <w:szCs w:val="22"/>
        </w:rPr>
        <w:t xml:space="preserve">Marco deliberativo, ámbitos regulados y ciclo de revisión anual · Adaptable a colegios, departamentos y programas</w:t>
      </w:r>
    </w:p>
    <w:p>
      <w:pPr>
        <w:pStyle w:val="Heading1"/>
        <w:spacing w:after="160" w:before="360"/>
      </w:pPr>
      <w:r>
        <w:rPr>
          <w:b/>
          <w:bCs/>
          <w:color w:val="1B3A5C"/>
        </w:rPr>
        <w:t xml:space="preserve">Cómo usar esta plantilla</w:t>
      </w:r>
    </w:p>
    <w:p>
      <w:pPr>
        <w:spacing w:after="160"/>
        <w:jc w:val="both"/>
      </w:pPr>
      <w:r>
        <w:t xml:space="preserve">Esta plantilla traduce a un documento operativo los principios que el consenso internacional de 2026 estableció (gobernanza deliberativa, rendición de cuentas, derechos de estudiantes y docentes) y las cuatro condiciones organizacionales que la evidencia identifica como decisivas: claridad de políticas, formación sistemática, orientación ética e infraestructura confiable. Sustituya los campos entre corchetes, someta el borrador al proceso deliberativo de la sección 2, y fije la fecha de revisión anual antes de aprobar.</w:t>
      </w:r>
    </w:p>
    <w:p>
      <w:pPr>
        <w:pStyle w:val="Heading1"/>
        <w:spacing w:after="160" w:before="360"/>
      </w:pPr>
      <w:r>
        <w:rPr>
          <w:b/>
          <w:bCs/>
          <w:color w:val="1B3A5C"/>
        </w:rPr>
        <w:t xml:space="preserve">1. Propósito y principios</w:t>
      </w:r>
    </w:p>
    <w:p>
      <w:pPr>
        <w:pBdr>
          <w:left w:val="single" w:color="C9A227" w:sz="18"/>
        </w:pBdr>
        <w:spacing w:after="200"/>
        <w:ind w:left="504"/>
      </w:pPr>
      <w:r>
        <w:rPr>
          <w:i/>
          <w:iCs/>
        </w:rPr>
        <w:t xml:space="preserve">El [DEPARTAMENTO/COLEGIO] adopta esta política para integrar la inteligencia artificial al servicio de su misión académica. Principios rectores: (1) la IA se integra con propósito pedagógico, no por novedad; (2) las decisiones sobre IA se toman con voz previa de docentes y estudiantes; (3) todo uso institucional de IA es público y auditable; (4) la formación precede al acceso; y (5) el juicio académico final — en evaluación, currículo e investigación — es siempre humano.</w:t>
      </w:r>
    </w:p>
    <w:p>
      <w:pPr>
        <w:pStyle w:val="Heading1"/>
        <w:spacing w:after="160" w:before="360"/>
      </w:pPr>
      <w:r>
        <w:rPr>
          <w:b/>
          <w:bCs/>
          <w:color w:val="1B3A5C"/>
        </w:rPr>
        <w:t xml:space="preserve">2. Proceso deliberativo</w:t>
      </w:r>
    </w:p>
    <w:p>
      <w:pPr>
        <w:pBdr>
          <w:left w:val="single" w:color="C9A227" w:sz="18"/>
        </w:pBdr>
        <w:spacing w:after="200"/>
        <w:ind w:left="504"/>
      </w:pPr>
      <w:r>
        <w:rPr>
          <w:i/>
          <w:iCs/>
        </w:rPr>
        <w:t xml:space="preserve">Las decisiones de adopción, renovación o retiro de sistemas de IA serán evaluadas por el Comité de IA del [DEPARTAMENTO], compuesto por [N] docentes electos por el claustro (con representación de disciplinas), [N] estudiantes designados por el consejo estudiantil, y [CARGO ADMINISTRATIVO]. El comité consulta al claustro antes de — no después de — cada decisión, y publica actas resumidas.</w:t>
      </w:r>
    </w:p>
    <w:p>
      <w:pPr>
        <w:pStyle w:val="Heading1"/>
        <w:spacing w:after="160" w:before="360"/>
      </w:pPr>
      <w:r>
        <w:rPr>
          <w:b/>
          <w:bCs/>
          <w:color w:val="1B3A5C"/>
        </w:rPr>
        <w:t xml:space="preserve">3. Ámbitos regulados</w:t>
      </w:r>
    </w:p>
    <w:p>
      <w:pPr>
        <w:spacing w:after="160"/>
        <w:jc w:val="both"/>
      </w:pPr>
      <w:r>
        <w:t xml:space="preserve">Complete la tabla con las reglas del departamento por ámbito: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Ámbito</w:t>
            </w:r>
          </w:p>
        </w:tc>
        <w:tc>
          <w:tcPr>
            <w:tcW w:type="dxa" w:w="6960"/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 del departamento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Docencia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curso declara su política de IA en el prontuario usando la plantilla institucional de niveles; el nivel por evaluación se publica en la plataforma del curso.</w:t>
            </w:r>
          </w:p>
        </w:tc>
      </w:tr>
      <w:tr>
        <w:tc>
          <w:tcPr>
            <w:tcW w:type="dxa" w:w="2400"/>
            <w:shd w:fill="F2EF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Evaluación y avalúo</w:t>
            </w:r>
          </w:p>
        </w:tc>
        <w:tc>
          <w:tcPr>
            <w:tcW w:type="dxa" w:w="6960"/>
            <w:shd w:fill="F2EF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calificación asistida por IA se permite solo para borradores de retroalimentación, con juicio final humano documentado; las evaluaciones de alto peso incluyen componente oral o de proceso.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Datos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Prohibido ingresar datos personales de estudiantes o docentes a herramientas no aprobadas; los contratos con proveedores se revisan contra la política institucional de datos.</w:t>
            </w:r>
          </w:p>
        </w:tc>
      </w:tr>
      <w:tr>
        <w:tc>
          <w:tcPr>
            <w:tcW w:type="dxa" w:w="2400"/>
            <w:shd w:fill="F2EF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Investigación y tesis</w:t>
            </w:r>
          </w:p>
        </w:tc>
        <w:tc>
          <w:tcPr>
            <w:tcW w:type="dxa" w:w="6960"/>
            <w:shd w:fill="F2EF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trabajos de grado incluyen Declaración de Tecnologías de Asistencia; el uso de IA en análisis de datos requiere aprobación del comité de tesis.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Formación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Mínimo de [20] horas anuales de formación en IA disponibles para el claustro; el acceso a plataformas institucionales de IA requiere completar el módulo básico de alfabetización.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B3A5C"/>
        </w:rPr>
        <w:t xml:space="preserve">4. Registro público de sistemas de IA</w:t>
      </w:r>
    </w:p>
    <w:p>
      <w:pPr>
        <w:pBdr>
          <w:left w:val="single" w:color="C9A227" w:sz="18"/>
        </w:pBdr>
        <w:spacing w:after="200"/>
        <w:ind w:left="504"/>
      </w:pPr>
      <w:r>
        <w:rPr>
          <w:i/>
          <w:iCs/>
        </w:rPr>
        <w:t xml:space="preserve">El departamento mantiene un registro público con: sistema, proveedor, área de uso, datos que procesa, salvaguardas y fecha de última revisión. Ningún sistema de IA opera fuera del registro.</w:t>
      </w:r>
    </w:p>
    <w:p>
      <w:pPr>
        <w:pStyle w:val="Heading1"/>
        <w:spacing w:after="160" w:before="360"/>
      </w:pPr>
      <w:r>
        <w:rPr>
          <w:b/>
          <w:bCs/>
          <w:color w:val="1B3A5C"/>
        </w:rPr>
        <w:t xml:space="preserve">5. Ciclo de revisión</w:t>
      </w:r>
    </w:p>
    <w:p>
      <w:pPr>
        <w:pBdr>
          <w:left w:val="single" w:color="C9A227" w:sz="18"/>
        </w:pBdr>
        <w:spacing w:after="200"/>
        <w:ind w:left="504"/>
      </w:pPr>
      <w:r>
        <w:rPr>
          <w:i/>
          <w:iCs/>
        </w:rPr>
        <w:t xml:space="preserve">Esta política caduca anualmente. El Comité de IA la revisa cada [MES], con base en: (1) datos propios de uso recogidos durante el año; (2) resultados de las mediciones de carga docente y de aprendizaje; y (3) cambios regulatorios y de la literatura. La versión vigente y las anteriores son públicas.</w:t>
      </w:r>
    </w:p>
    <w:p>
      <w:pPr>
        <w:pBdr>
          <w:top w:val="single" w:color="C9A227" w:sz="6"/>
        </w:pBdr>
        <w:spacing w:before="400"/>
        <w:jc w:val="center"/>
      </w:pPr>
      <w:r>
        <w:rPr>
          <w:i/>
          <w:iCs/>
          <w:color w:val="777777"/>
          <w:sz w:val="17"/>
          <w:szCs w:val="17"/>
        </w:rPr>
        <w:t xml:space="preserve">La Inteligencia Artificial en el Salón de Clases · Boletín semanal para profesores universitarios · Pontificia Universidad Católica de Puerto Rico ·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2026-10-04T13:47:41.853Z</dcterms:created>
  <dcterms:modified xsi:type="dcterms:W3CDTF">2026-10-04T13:47:41.853Z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