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color w:val="1B3A5C"/>
        </w:rPr>
        <w:t xml:space="preserve">Plantilla de política de IA para departamentos y facultades</w:t>
      </w:r>
    </w:p>
    <w:p>
      <w:pPr>
        <w:spacing w:after="360"/>
        <w:jc w:val="center"/>
      </w:pPr>
      <w:r>
        <w:rPr>
          <w:i/>
          <w:iCs/>
          <w:color w:val="555555"/>
          <w:sz w:val="22"/>
          <w:szCs w:val="22"/>
        </w:rPr>
        <w:t xml:space="preserve">Marco deliberativo, ámbitos regulados y ciclo de revisión anual · Adaptable a colegios, departamentos y programas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Cómo usar esta plantilla</w:t>
      </w:r>
    </w:p>
    <w:p>
      <w:pPr>
        <w:spacing w:after="160"/>
        <w:jc w:val="both"/>
      </w:pPr>
      <w:r>
        <w:t xml:space="preserve">Esta plantilla traduce a un documento operativo los principios que el consenso internacional de 2026 estableció (gobernanza deliberativa, rendición de cuentas, derechos de estudiantes y docentes) y las cuatro condiciones organizacionales que la evidencia identifica como decisivas: claridad de políticas, formación sistemática, orientación ética e infraestructura confiable. Sustituya los campos entre corchetes, someta el borrador al proceso deliberativo de la sección 2, y fije la fecha de revisión anual antes de aprobar.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1. Propósito y principios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El [DEPARTAMENTO/COLEGIO] adopta esta política para integrar la inteligencia artificial al servicio de su misión académica. Principios rectores: (1) la IA se integra con propósito pedagógico, no por novedad; (2) las decisiones sobre IA se toman con voz previa de docentes y estudiantes; (3) todo uso institucional de IA es público y auditable; (4) la formación precede al acceso; y (5) el juicio académico final — en evaluación, currículo e investigación — es siempre humano.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2. Proceso deliberativo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Las decisiones de adopción, renovación o retiro de sistemas de IA serán evaluadas por el Comité de IA del [DEPARTAMENTO], compuesto por [N] docentes electos por el claustro (con representación de disciplinas), [N] estudiantes designados por el consejo estudiantil, y [CARGO ADMINISTRATIVO]. El comité consulta al claustro antes de — no después de — cada decisión, y publica actas resumidas.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3. Ámbitos regulados</w:t>
      </w:r>
    </w:p>
    <w:p>
      <w:pPr>
        <w:spacing w:after="160"/>
        <w:jc w:val="both"/>
      </w:pPr>
      <w:r>
        <w:t xml:space="preserve">Complete la tabla con las reglas del departamento por ámbito: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Ámbito</w:t>
            </w:r>
          </w:p>
        </w:tc>
        <w:tc>
          <w:tcPr>
            <w:tcW w:type="dxa" w:w="696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Regla del departamento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Docencia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Cada curso declara su política de IA en el prontuario usando la plantilla institucional de niveles; el nivel por evaluación se publica en la plataforma del curso.</w:t>
            </w:r>
          </w:p>
        </w:tc>
      </w:tr>
      <w:tr>
        <w:tc>
          <w:tcPr>
            <w:tcW w:type="dxa" w:w="24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Evaluación y avalúo</w:t>
            </w:r>
          </w:p>
        </w:tc>
        <w:tc>
          <w:tcPr>
            <w:tcW w:type="dxa" w:w="696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calificación asistida por IA se permite solo para borradores de retroalimentación, con juicio final humano documentado; las evaluaciones de alto peso incluyen componente oral o de proceso.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Datos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Prohibido ingresar datos personales de estudiantes o docentes a herramientas no aprobadas; los contratos con proveedores se revisan contra la política institucional de datos.</w:t>
            </w:r>
          </w:p>
        </w:tc>
      </w:tr>
      <w:tr>
        <w:tc>
          <w:tcPr>
            <w:tcW w:type="dxa" w:w="24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Investigación y tesis</w:t>
            </w:r>
          </w:p>
        </w:tc>
        <w:tc>
          <w:tcPr>
            <w:tcW w:type="dxa" w:w="696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Los trabajos de grado incluyen Declaración de Tecnologías de Asistencia; el uso de IA en análisis de datos requiere aprobación del comité de tesis.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Formación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Mínimo de [20] horas anuales de formación en IA disponibles para el claustro; el acceso a plataformas institucionales de IA requiere completar el módulo básico de alfabetización.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B3A5C"/>
        </w:rPr>
        <w:t xml:space="preserve">4. Registro público de sistemas de IA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El departamento mantiene un registro público con: sistema, proveedor, área de uso, datos que procesa, salvaguardas y fecha de última revisión. Ningún sistema de IA opera fuera del registro.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5. Ciclo de revisión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Esta política caduca anualmente. El Comité de IA la revisa cada [MES], con base en: (1) datos propios de uso recogidos durante el año; (2) resultados de las mediciones de carga docente y de aprendizaje; y (3) cambios regulatorios y de la literatura. La versión vigente y las anteriores son públicas.</w:t>
      </w:r>
    </w:p>
    <w:p>
      <w:pPr>
        <w:pBdr>
          <w:top w:val="single" w:color="C9A227" w:sz="6"/>
        </w:pBdr>
        <w:spacing w:before="400"/>
        <w:jc w:val="center"/>
      </w:pPr>
      <w:r>
        <w:rPr>
          <w:i/>
          <w:iCs/>
          <w:color w:val="777777"/>
          <w:sz w:val="17"/>
          <w:szCs w:val="17"/>
        </w:rPr>
        <w:t xml:space="preserve">La Inteligencia Artificial en el Salón de Clases · Boletín semanal para profesores universitarios · Pontificia Universidad Católica de Puerto Rico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2026-09-27T12:48:46.790Z</dcterms:created>
  <dcterms:modified xsi:type="dcterms:W3CDTF">2026-09-27T12:48:46.790Z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