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1B3A5C"/>
        </w:rPr>
        <w:t xml:space="preserve">Cláusulas de IA para cursos graduados y en línea</w:t>
      </w:r>
    </w:p>
    <w:p>
      <w:pPr>
        <w:spacing w:after="360"/>
        <w:jc w:val="center"/>
      </w:pPr>
      <w:r>
        <w:rPr>
          <w:i/>
          <w:iCs/>
          <w:color w:val="555555"/>
          <w:sz w:val="22"/>
          <w:szCs w:val="22"/>
        </w:rPr>
        <w:t xml:space="preserve">Complemento de la plantilla general · Para maestrías, doctorados, cursos a distancia y supervisión de tesis</w:t>
      </w:r>
    </w:p>
    <w:p>
      <w:pPr>
        <w:pStyle w:val="Heading1"/>
        <w:spacing w:after="160" w:before="360"/>
      </w:pPr>
      <w:r>
        <w:rPr>
          <w:b/>
          <w:bCs/>
          <w:color w:val="1B3A5C"/>
        </w:rPr>
        <w:t xml:space="preserve">Por qué los cursos graduados y en línea necesitan cláusulas propias</w:t>
      </w:r>
    </w:p>
    <w:p>
      <w:pPr>
        <w:spacing w:after="160"/>
        <w:jc w:val="both"/>
      </w:pPr>
      <w:r>
        <w:t xml:space="preserve">En el nivel graduado, la colaboración con IA es parte de la competencia profesional que el programa desarrolla, pero el estándar de atribución académica es más exigente y las consecuencias de integridad más graves. En los cursos en línea, la verificación presencial no existe, por lo que la política debe apoyarse en el diseño de la evaluación (proceso documentado, defensa sincrónica) y no en la vigilancia. Adapte el lenguaje de estas cláusulas a su programa y armonícelas con el reglamento de estudios graduados de su institución.</w:t>
      </w:r>
    </w:p>
    <w:p>
      <w:pPr>
        <w:pStyle w:val="Heading1"/>
        <w:spacing w:after="160" w:before="360"/>
      </w:pPr>
      <w:r>
        <w:rPr>
          <w:b/>
          <w:bCs/>
          <w:color w:val="1B3A5C"/>
        </w:rPr>
        <w:t xml:space="preserve">Cláusula modelo para cursos graduados</w:t>
      </w:r>
    </w:p>
    <w:p>
      <w:pPr>
        <w:pBdr>
          <w:left w:val="single" w:color="C9A227" w:sz="18"/>
        </w:pBdr>
        <w:spacing w:after="200"/>
        <w:ind w:left="504"/>
      </w:pPr>
      <w:r>
        <w:rPr>
          <w:i/>
          <w:iCs/>
        </w:rPr>
        <w:t xml:space="preserve">Este curso graduado asume que usted trabajará con herramientas de IA generativa como parte de su desarrollo profesional. Su uso está permitido en todas las fases del trabajo académico bajo tres condiciones: (1) atribución conforme al estándar académico — todo uso sustantivo de IA se declara con la misma seriedad con que se cita una fuente; (2) responsabilidad plena — usted responde por la exactitud, originalidad del análisis y calidad de todo lo que entrega; y (3) capacidad de defensa — podrá ser convocado a explicar y defender oralmente cualquier parte de su trabajo, y la incapacidad de hacerlo se tratará como indicio de trabajo no propio. El estándar del programa no es evitar la IA sino demostrar juicio profesional en su uso.</w:t>
      </w:r>
    </w:p>
    <w:p>
      <w:pPr>
        <w:pStyle w:val="Heading1"/>
        <w:spacing w:after="160" w:before="360"/>
      </w:pPr>
      <w:r>
        <w:rPr>
          <w:b/>
          <w:bCs/>
          <w:color w:val="1B3A5C"/>
        </w:rPr>
        <w:t xml:space="preserve">Cláusula modelo para cursos en línea</w:t>
      </w:r>
    </w:p>
    <w:p>
      <w:pPr>
        <w:pBdr>
          <w:left w:val="single" w:color="C9A227" w:sz="18"/>
        </w:pBdr>
        <w:spacing w:after="200"/>
        <w:ind w:left="504"/>
      </w:pPr>
      <w:r>
        <w:rPr>
          <w:i/>
          <w:iCs/>
        </w:rPr>
        <w:t xml:space="preserve">En este curso a distancia, la integridad académica se verifica mediante el diseño de las evaluaciones y no mediante vigilancia: los trabajos principales incluyen documentación del proceso (borradores intermedios, bitácora de decisiones) y una defensa oral sincrónica breve por videoconferencia. El uso de IA se rige por el nivel asignado a cada tarea. En las defensas sincrónicas no se permite asistencia de IA en tiempo real; su cámara debe permanecer activa y sus respuestas deben ser propias e inmediatas.</w:t>
      </w:r>
    </w:p>
    <w:p>
      <w:pPr>
        <w:pStyle w:val="Heading1"/>
        <w:spacing w:after="160" w:before="360"/>
      </w:pPr>
      <w:r>
        <w:rPr>
          <w:b/>
          <w:bCs/>
          <w:color w:val="1B3A5C"/>
        </w:rPr>
        <w:t xml:space="preserve">Cláusula modelo para tesis, proyectos y disertaciones</w:t>
      </w:r>
    </w:p>
    <w:p>
      <w:pPr>
        <w:pBdr>
          <w:left w:val="single" w:color="C9A227" w:sz="18"/>
        </w:pBdr>
        <w:spacing w:after="200"/>
        <w:ind w:left="504"/>
      </w:pPr>
      <w:r>
        <w:rPr>
          <w:i/>
          <w:iCs/>
        </w:rPr>
        <w:t xml:space="preserve">En el trabajo de tesis o disertación, el uso de IA generativa se rige por las siguientes normas: (1) PERMITIDO con declaración — exploración bibliográfica preliminar, mejora de redacción y estilo, y generación de ejemplos o contraargumentos para fortalecer el análisis propio, siempre con verificación contra las fuentes primarias; (2) REQUIERE APROBACIÓN PREVIA del comité — cualquier uso en el análisis de datos, la codificación cualitativa o la interpretación de resultados; (3) PROHIBIDO — la redacción sustantiva de capítulos, la invención o parafraseo de fuentes no verificadas, y el ingreso de datos de participantes a herramientas no aprobadas por el IRB o junta de ética. Cada capítulo entregado al comité incluirá una Declaración de Uso de IA. La violación de estas normas puede conllevar la anulación del trabajo conforme al reglamento de estudios graduados.</w:t>
      </w:r>
    </w:p>
    <w:p>
      <w:pPr>
        <w:pStyle w:val="Heading1"/>
        <w:spacing w:after="160" w:before="360"/>
      </w:pPr>
      <w:r>
        <w:rPr>
          <w:b/>
          <w:bCs/>
          <w:color w:val="1B3A5C"/>
        </w:rPr>
        <w:t xml:space="preserve">Tabla de niveles por tipo de actividad graduada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shd w:fill="1B3A5C" w:val="clear"/>
            <w:tcMar>
              <w:top w:type="dxa" w:w="80"/>
              <w:left w:type="dxa" w:w="100"/>
              <w:bottom w:type="dxa" w:w="80"/>
              <w:right w:type="dxa" w:w="100"/>
            </w:tcMar>
          </w:tcPr>
          <w:p>
            <w:r>
              <w:rPr>
                <w:b/>
                <w:bCs/>
                <w:color w:val="FFFFFF"/>
                <w:sz w:val="20"/>
                <w:szCs w:val="20"/>
              </w:rPr>
              <w:t xml:space="preserve">Actividad</w:t>
            </w:r>
          </w:p>
        </w:tc>
        <w:tc>
          <w:tcPr>
            <w:tcW w:type="dxa" w:w="1600"/>
            <w:shd w:fill="1B3A5C" w:val="clear"/>
            <w:tcMar>
              <w:top w:type="dxa" w:w="80"/>
              <w:left w:type="dxa" w:w="100"/>
              <w:bottom w:type="dxa" w:w="80"/>
              <w:right w:type="dxa" w:w="100"/>
            </w:tcMar>
          </w:tcPr>
          <w:p>
            <w:r>
              <w:rPr>
                <w:b/>
                <w:bCs/>
                <w:color w:val="FFFFFF"/>
                <w:sz w:val="20"/>
                <w:szCs w:val="20"/>
              </w:rPr>
              <w:t xml:space="preserve">Uso de IA</w:t>
            </w:r>
          </w:p>
        </w:tc>
        <w:tc>
          <w:tcPr>
            <w:tcW w:type="dxa" w:w="4360"/>
            <w:shd w:fill="1B3A5C" w:val="clear"/>
            <w:tcMar>
              <w:top w:type="dxa" w:w="80"/>
              <w:left w:type="dxa" w:w="100"/>
              <w:bottom w:type="dxa" w:w="80"/>
              <w:right w:type="dxa" w:w="100"/>
            </w:tcMar>
          </w:tcPr>
          <w:p>
            <w:r>
              <w:rPr>
                <w:b/>
                <w:bCs/>
                <w:color w:val="FFFFFF"/>
                <w:sz w:val="20"/>
                <w:szCs w:val="20"/>
              </w:rPr>
              <w:t xml:space="preserve">Condición</w:t>
            </w:r>
          </w:p>
        </w:tc>
      </w:tr>
      <w:tr>
        <w:tc>
          <w:tcPr>
            <w:tcW w:type="dxa" w:w="3400"/>
            <w:tcMar>
              <w:top w:type="dxa" w:w="80"/>
              <w:left w:type="dxa" w:w="100"/>
              <w:bottom w:type="dxa" w:w="80"/>
              <w:right w:type="dxa" w:w="100"/>
            </w:tcMar>
          </w:tcPr>
          <w:p>
            <w:r>
              <w:rPr>
                <w:b w:val="false"/>
                <w:bCs w:val="false"/>
                <w:color w:val="000000"/>
                <w:sz w:val="19"/>
                <w:szCs w:val="19"/>
              </w:rPr>
              <w:t xml:space="preserve">Discusiones y foros en línea</w:t>
            </w:r>
          </w:p>
        </w:tc>
        <w:tc>
          <w:tcPr>
            <w:tcW w:type="dxa" w:w="1600"/>
            <w:tcMar>
              <w:top w:type="dxa" w:w="80"/>
              <w:left w:type="dxa" w:w="100"/>
              <w:bottom w:type="dxa" w:w="80"/>
              <w:right w:type="dxa" w:w="100"/>
            </w:tcMar>
          </w:tcPr>
          <w:p>
            <w:r>
              <w:rPr>
                <w:b w:val="false"/>
                <w:bCs w:val="false"/>
                <w:color w:val="000000"/>
                <w:sz w:val="19"/>
                <w:szCs w:val="19"/>
              </w:rPr>
              <w:t xml:space="preserve">Nivel 1-2</w:t>
            </w:r>
          </w:p>
        </w:tc>
        <w:tc>
          <w:tcPr>
            <w:tcW w:type="dxa" w:w="4360"/>
            <w:tcMar>
              <w:top w:type="dxa" w:w="80"/>
              <w:left w:type="dxa" w:w="100"/>
              <w:bottom w:type="dxa" w:w="80"/>
              <w:right w:type="dxa" w:w="100"/>
            </w:tcMar>
          </w:tcPr>
          <w:p>
            <w:r>
              <w:rPr>
                <w:b w:val="false"/>
                <w:bCs w:val="false"/>
                <w:color w:val="000000"/>
                <w:sz w:val="19"/>
                <w:szCs w:val="19"/>
              </w:rPr>
              <w:t xml:space="preserve">Ideas y estilo; la posición argumentada es propia.</w:t>
            </w:r>
          </w:p>
        </w:tc>
      </w:tr>
      <w:tr>
        <w:tc>
          <w:tcPr>
            <w:tcW w:type="dxa" w:w="3400"/>
            <w:shd w:fill="F2EFE8" w:val="clear"/>
            <w:tcMar>
              <w:top w:type="dxa" w:w="80"/>
              <w:left w:type="dxa" w:w="100"/>
              <w:bottom w:type="dxa" w:w="80"/>
              <w:right w:type="dxa" w:w="100"/>
            </w:tcMar>
          </w:tcPr>
          <w:p>
            <w:r>
              <w:rPr>
                <w:b w:val="false"/>
                <w:bCs w:val="false"/>
                <w:color w:val="000000"/>
                <w:sz w:val="19"/>
                <w:szCs w:val="19"/>
              </w:rPr>
              <w:t xml:space="preserve">Análisis de casos</w:t>
            </w:r>
          </w:p>
        </w:tc>
        <w:tc>
          <w:tcPr>
            <w:tcW w:type="dxa" w:w="1600"/>
            <w:shd w:fill="F2EFE8" w:val="clear"/>
            <w:tcMar>
              <w:top w:type="dxa" w:w="80"/>
              <w:left w:type="dxa" w:w="100"/>
              <w:bottom w:type="dxa" w:w="80"/>
              <w:right w:type="dxa" w:w="100"/>
            </w:tcMar>
          </w:tcPr>
          <w:p>
            <w:r>
              <w:rPr>
                <w:b w:val="false"/>
                <w:bCs w:val="false"/>
                <w:color w:val="000000"/>
                <w:sz w:val="19"/>
                <w:szCs w:val="19"/>
              </w:rPr>
              <w:t xml:space="preserve">Nivel 2</w:t>
            </w:r>
          </w:p>
        </w:tc>
        <w:tc>
          <w:tcPr>
            <w:tcW w:type="dxa" w:w="4360"/>
            <w:shd w:fill="F2EFE8" w:val="clear"/>
            <w:tcMar>
              <w:top w:type="dxa" w:w="80"/>
              <w:left w:type="dxa" w:w="100"/>
              <w:bottom w:type="dxa" w:w="80"/>
              <w:right w:type="dxa" w:w="100"/>
            </w:tcMar>
          </w:tcPr>
          <w:p>
            <w:r>
              <w:rPr>
                <w:b w:val="false"/>
                <w:bCs w:val="false"/>
                <w:color w:val="000000"/>
                <w:sz w:val="19"/>
                <w:szCs w:val="19"/>
              </w:rPr>
              <w:t xml:space="preserve">Con declaración; el diagnóstico y la recomendación son del estudiante.</w:t>
            </w:r>
          </w:p>
        </w:tc>
      </w:tr>
      <w:tr>
        <w:tc>
          <w:tcPr>
            <w:tcW w:type="dxa" w:w="3400"/>
            <w:tcMar>
              <w:top w:type="dxa" w:w="80"/>
              <w:left w:type="dxa" w:w="100"/>
              <w:bottom w:type="dxa" w:w="80"/>
              <w:right w:type="dxa" w:w="100"/>
            </w:tcMar>
          </w:tcPr>
          <w:p>
            <w:r>
              <w:rPr>
                <w:b w:val="false"/>
                <w:bCs w:val="false"/>
                <w:color w:val="000000"/>
                <w:sz w:val="19"/>
                <w:szCs w:val="19"/>
              </w:rPr>
              <w:t xml:space="preserve">Exámenes comprensivos</w:t>
            </w:r>
          </w:p>
        </w:tc>
        <w:tc>
          <w:tcPr>
            <w:tcW w:type="dxa" w:w="1600"/>
            <w:tcMar>
              <w:top w:type="dxa" w:w="80"/>
              <w:left w:type="dxa" w:w="100"/>
              <w:bottom w:type="dxa" w:w="80"/>
              <w:right w:type="dxa" w:w="100"/>
            </w:tcMar>
          </w:tcPr>
          <w:p>
            <w:r>
              <w:rPr>
                <w:b w:val="false"/>
                <w:bCs w:val="false"/>
                <w:color w:val="000000"/>
                <w:sz w:val="19"/>
                <w:szCs w:val="19"/>
              </w:rPr>
              <w:t xml:space="preserve">Nivel 0</w:t>
            </w:r>
          </w:p>
        </w:tc>
        <w:tc>
          <w:tcPr>
            <w:tcW w:type="dxa" w:w="4360"/>
            <w:tcMar>
              <w:top w:type="dxa" w:w="80"/>
              <w:left w:type="dxa" w:w="100"/>
              <w:bottom w:type="dxa" w:w="80"/>
              <w:right w:type="dxa" w:w="100"/>
            </w:tcMar>
          </w:tcPr>
          <w:p>
            <w:r>
              <w:rPr>
                <w:b w:val="false"/>
                <w:bCs w:val="false"/>
                <w:color w:val="000000"/>
                <w:sz w:val="19"/>
                <w:szCs w:val="19"/>
              </w:rPr>
              <w:t xml:space="preserve">Sin IA; evalúan dominio individual.</w:t>
            </w:r>
          </w:p>
        </w:tc>
      </w:tr>
      <w:tr>
        <w:tc>
          <w:tcPr>
            <w:tcW w:type="dxa" w:w="3400"/>
            <w:shd w:fill="F2EFE8" w:val="clear"/>
            <w:tcMar>
              <w:top w:type="dxa" w:w="80"/>
              <w:left w:type="dxa" w:w="100"/>
              <w:bottom w:type="dxa" w:w="80"/>
              <w:right w:type="dxa" w:w="100"/>
            </w:tcMar>
          </w:tcPr>
          <w:p>
            <w:r>
              <w:rPr>
                <w:b w:val="false"/>
                <w:bCs w:val="false"/>
                <w:color w:val="000000"/>
                <w:sz w:val="19"/>
                <w:szCs w:val="19"/>
              </w:rPr>
              <w:t xml:space="preserve">Propuesta y capítulos de tesis</w:t>
            </w:r>
          </w:p>
        </w:tc>
        <w:tc>
          <w:tcPr>
            <w:tcW w:type="dxa" w:w="1600"/>
            <w:shd w:fill="F2EFE8" w:val="clear"/>
            <w:tcMar>
              <w:top w:type="dxa" w:w="80"/>
              <w:left w:type="dxa" w:w="100"/>
              <w:bottom w:type="dxa" w:w="80"/>
              <w:right w:type="dxa" w:w="100"/>
            </w:tcMar>
          </w:tcPr>
          <w:p>
            <w:r>
              <w:rPr>
                <w:b w:val="false"/>
                <w:bCs w:val="false"/>
                <w:color w:val="000000"/>
                <w:sz w:val="19"/>
                <w:szCs w:val="19"/>
              </w:rPr>
              <w:t xml:space="preserve">Ver cláusula</w:t>
            </w:r>
          </w:p>
        </w:tc>
        <w:tc>
          <w:tcPr>
            <w:tcW w:type="dxa" w:w="4360"/>
            <w:shd w:fill="F2EFE8" w:val="clear"/>
            <w:tcMar>
              <w:top w:type="dxa" w:w="80"/>
              <w:left w:type="dxa" w:w="100"/>
              <w:bottom w:type="dxa" w:w="80"/>
              <w:right w:type="dxa" w:w="100"/>
            </w:tcMar>
          </w:tcPr>
          <w:p>
            <w:r>
              <w:rPr>
                <w:b w:val="false"/>
                <w:bCs w:val="false"/>
                <w:color w:val="000000"/>
                <w:sz w:val="19"/>
                <w:szCs w:val="19"/>
              </w:rPr>
              <w:t xml:space="preserve">Según normas de tesis; declaración por capítulo al comité.</w:t>
            </w:r>
          </w:p>
        </w:tc>
      </w:tr>
      <w:tr>
        <w:tc>
          <w:tcPr>
            <w:tcW w:type="dxa" w:w="3400"/>
            <w:tcMar>
              <w:top w:type="dxa" w:w="80"/>
              <w:left w:type="dxa" w:w="100"/>
              <w:bottom w:type="dxa" w:w="80"/>
              <w:right w:type="dxa" w:w="100"/>
            </w:tcMar>
          </w:tcPr>
          <w:p>
            <w:r>
              <w:rPr>
                <w:b w:val="false"/>
                <w:bCs w:val="false"/>
                <w:color w:val="000000"/>
                <w:sz w:val="19"/>
                <w:szCs w:val="19"/>
              </w:rPr>
              <w:t xml:space="preserve">Defensa oral</w:t>
            </w:r>
          </w:p>
        </w:tc>
        <w:tc>
          <w:tcPr>
            <w:tcW w:type="dxa" w:w="1600"/>
            <w:tcMar>
              <w:top w:type="dxa" w:w="80"/>
              <w:left w:type="dxa" w:w="100"/>
              <w:bottom w:type="dxa" w:w="80"/>
              <w:right w:type="dxa" w:w="100"/>
            </w:tcMar>
          </w:tcPr>
          <w:p>
            <w:r>
              <w:rPr>
                <w:b w:val="false"/>
                <w:bCs w:val="false"/>
                <w:color w:val="000000"/>
                <w:sz w:val="19"/>
                <w:szCs w:val="19"/>
              </w:rPr>
              <w:t xml:space="preserve">Nivel 0</w:t>
            </w:r>
          </w:p>
        </w:tc>
        <w:tc>
          <w:tcPr>
            <w:tcW w:type="dxa" w:w="4360"/>
            <w:tcMar>
              <w:top w:type="dxa" w:w="80"/>
              <w:left w:type="dxa" w:w="100"/>
              <w:bottom w:type="dxa" w:w="80"/>
              <w:right w:type="dxa" w:w="100"/>
            </w:tcMar>
          </w:tcPr>
          <w:p>
            <w:r>
              <w:rPr>
                <w:b w:val="false"/>
                <w:bCs w:val="false"/>
                <w:color w:val="000000"/>
                <w:sz w:val="19"/>
                <w:szCs w:val="19"/>
              </w:rPr>
              <w:t xml:space="preserve">Sin asistencia en tiempo real; respuestas propias e inmediatas.</w:t>
            </w:r>
          </w:p>
        </w:tc>
      </w:tr>
    </w:tbl>
    <w:p>
      <w:pPr>
        <w:spacing w:after="200"/>
      </w:pPr>
    </w:p>
    <w:p>
      <w:pPr>
        <w:pBdr>
          <w:top w:val="single" w:color="C9A227" w:sz="6"/>
        </w:pBdr>
        <w:spacing w:before="400"/>
        <w:jc w:val="center"/>
      </w:pPr>
      <w:r>
        <w:rPr>
          <w:i/>
          <w:iCs/>
          <w:color w:val="777777"/>
          <w:sz w:val="17"/>
          <w:szCs w:val="17"/>
        </w:rPr>
        <w:t xml:space="preserve">La Inteligencia Artificial en el Salón de Clases · Boletín semanal para profesores universitarios · Pontificia Universidad Católica de Puerto Rico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2026-09-06T13:07:29.077Z</dcterms:created>
  <dcterms:modified xsi:type="dcterms:W3CDTF">2026-09-06T13:07:29.083Z</dcterms:modified>
</cp:coreProperties>
</file>

<file path=docProps/custom.xml><?xml version="1.0" encoding="utf-8"?>
<Properties xmlns="http://schemas.openxmlformats.org/officeDocument/2006/custom-properties" xmlns:vt="http://schemas.openxmlformats.org/officeDocument/2006/docPropsVTypes"/>
</file>