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color w:val="1B3A5C"/>
        </w:rPr>
        <w:t xml:space="preserve">Cláusulas de IA por disciplina de negocios</w:t>
      </w:r>
    </w:p>
    <w:p>
      <w:pPr>
        <w:spacing w:after="360"/>
        <w:jc w:val="center"/>
      </w:pPr>
      <w:r>
        <w:rPr>
          <w:i/>
          <w:iCs/>
          <w:color w:val="555555"/>
          <w:sz w:val="22"/>
          <w:szCs w:val="22"/>
        </w:rPr>
        <w:t xml:space="preserve">Ejemplos listos para adaptar en contabilidad, finanzas, mercadeo, gerencia, economía y analítica</w:t>
      </w:r>
    </w:p>
    <w:p>
      <w:pPr>
        <w:pStyle w:val="Heading1"/>
        <w:spacing w:after="160" w:before="360"/>
      </w:pPr>
      <w:r>
        <w:rPr>
          <w:b/>
          <w:bCs/>
          <w:color w:val="1B3A5C"/>
        </w:rPr>
        <w:t xml:space="preserve">Cómo usar estas cláusulas</w:t>
      </w:r>
    </w:p>
    <w:p>
      <w:pPr>
        <w:spacing w:after="160"/>
        <w:jc w:val="both"/>
      </w:pPr>
      <w:r>
        <w:t xml:space="preserve">Las políticas genéricas de IA fallan donde las disciplinas difieren: lo que constituye asistencia legítima en un curso de mercadeo puede ser sustitución del aprendizaje en uno de contabilidad. Estas cláusulas complementan la política general del curso (vea nuestra plantilla de cuatro niveles) con lenguaje específico por disciplina de negocios, anclado en la destreza profesional que cada curso protege. Cópielas en la sección de la tarea o unidad correspondiente y ajústelas a su prontuario.</w:t>
      </w:r>
    </w:p>
    <w:p>
      <w:pPr>
        <w:pStyle w:val="Heading1"/>
        <w:spacing w:after="160" w:before="360"/>
      </w:pPr>
      <w:r>
        <w:rPr>
          <w:b/>
          <w:bCs/>
          <w:color w:val="1B3A5C"/>
        </w:rPr>
        <w:t xml:space="preserve">Contabilidad y auditoría</w:t>
      </w:r>
    </w:p>
    <w:p>
      <w:pPr>
        <w:pBdr>
          <w:left w:val="single" w:color="C9A227" w:sz="18"/>
        </w:pBdr>
        <w:spacing w:after="200"/>
        <w:ind w:left="504"/>
      </w:pPr>
      <w:r>
        <w:rPr>
          <w:i/>
          <w:iCs/>
        </w:rPr>
        <w:t xml:space="preserve">En este curso, los asientos, conciliaciones, estados financieros y papeles de trabajo deben ser elaborados por usted: la destreza que este curso certifica es su capacidad de aplicar el ciclo contable y las normas (NIIF/US GAAP) con precisión, y esa capacidad será la base de su responsabilidad profesional y legal como contador. Puede usar IA para aclarar conceptos y generar ejercicios de práctica adicionales. No puede usarla para producir o verificar las soluciones que entrega. En los casos de análisis, declare cualquier uso conforme a la política general.</w:t>
      </w:r>
    </w:p>
    <w:p>
      <w:pPr>
        <w:pStyle w:val="Heading1"/>
        <w:spacing w:after="160" w:before="360"/>
      </w:pPr>
      <w:r>
        <w:rPr>
          <w:b/>
          <w:bCs/>
          <w:color w:val="1B3A5C"/>
        </w:rPr>
        <w:t xml:space="preserve">Finanzas</w:t>
      </w:r>
    </w:p>
    <w:p>
      <w:pPr>
        <w:pBdr>
          <w:left w:val="single" w:color="C9A227" w:sz="18"/>
        </w:pBdr>
        <w:spacing w:after="200"/>
        <w:ind w:left="504"/>
      </w:pPr>
      <w:r>
        <w:rPr>
          <w:i/>
          <w:iCs/>
        </w:rPr>
        <w:t xml:space="preserve">Puede usar IA para explorar conceptos, contextualizar noticias de mercado y generar escenarios de práctica. Los modelos de valoración, las proyecciones y las recomendaciones de inversión que entregue deben ser construidos y justificados por usted: en la defensa oral se le pedirá explicar cada supuesto (tasas, crecimiento, riesgo) y su sensibilidad. Recuerde que los datos financieros generados por IA pueden ser inventados: todo dato usado en sus análisis debe provenir de las fuentes del curso o de bases de datos verificables, con cita.</w:t>
      </w:r>
    </w:p>
    <w:p>
      <w:pPr>
        <w:pStyle w:val="Heading1"/>
        <w:spacing w:after="160" w:before="360"/>
      </w:pPr>
      <w:r>
        <w:rPr>
          <w:b/>
          <w:bCs/>
          <w:color w:val="1B3A5C"/>
        </w:rPr>
        <w:t xml:space="preserve">Mercadeo</w:t>
      </w:r>
    </w:p>
    <w:p>
      <w:pPr>
        <w:pBdr>
          <w:left w:val="single" w:color="C9A227" w:sz="18"/>
        </w:pBdr>
        <w:spacing w:after="200"/>
        <w:ind w:left="504"/>
      </w:pPr>
      <w:r>
        <w:rPr>
          <w:i/>
          <w:iCs/>
        </w:rPr>
        <w:t xml:space="preserve">La IA generativa es hoy herramienta estándar de la práctica profesional del mercadeo, y este curso la incorpora: puede usarla para generar borradores de piezas, variantes de mensajes y perfiles de audiencia, siempre con divulgación. Lo que este curso evalúa — y debe ser suyo — es la estrategia: el diagnóstico del mercado, la segmentación, el posicionamiento y la justificación de las decisiones creativas. Entregar piezas generadas sin estrategia propia documentada equivale a entregar el trabajo de otro.</w:t>
      </w:r>
    </w:p>
    <w:p>
      <w:pPr>
        <w:pStyle w:val="Heading1"/>
        <w:spacing w:after="160" w:before="360"/>
      </w:pPr>
      <w:r>
        <w:rPr>
          <w:b/>
          <w:bCs/>
          <w:color w:val="1B3A5C"/>
        </w:rPr>
        <w:t xml:space="preserve">Gerencia y recursos humanos</w:t>
      </w:r>
    </w:p>
    <w:p>
      <w:pPr>
        <w:pBdr>
          <w:left w:val="single" w:color="C9A227" w:sz="18"/>
        </w:pBdr>
        <w:spacing w:after="200"/>
        <w:ind w:left="504"/>
      </w:pPr>
      <w:r>
        <w:rPr>
          <w:i/>
          <w:iCs/>
        </w:rPr>
        <w:t xml:space="preserve">Puede usar IA como apoyo en la preparación de análisis de casos y simulaciones. Las decisiones gerenciales que proponga — y su justificación ética y humana — deben ser suyas: la gerencia es juicio sobre personas y contextos, y ese juicio no se delega. Está prohibido ingresar a herramientas de IA información real de empresas o personas obtenida en prácticas, empleos o entrevistas; use siempre los datos ficticios del caso.</w:t>
      </w:r>
    </w:p>
    <w:p>
      <w:pPr>
        <w:pStyle w:val="Heading1"/>
        <w:spacing w:after="160" w:before="360"/>
      </w:pPr>
      <w:r>
        <w:rPr>
          <w:b/>
          <w:bCs/>
          <w:color w:val="1B3A5C"/>
        </w:rPr>
        <w:t xml:space="preserve">Economía</w:t>
      </w:r>
    </w:p>
    <w:p>
      <w:pPr>
        <w:pBdr>
          <w:left w:val="single" w:color="C9A227" w:sz="18"/>
        </w:pBdr>
        <w:spacing w:after="200"/>
        <w:ind w:left="504"/>
      </w:pPr>
      <w:r>
        <w:rPr>
          <w:i/>
          <w:iCs/>
        </w:rPr>
        <w:t xml:space="preserve">Puede usar IA para repasar conceptos, discutir intuiciones económicas y practicar. Los análisis gráficos, las derivaciones y la interpretación de resultados que entregue deben ser propios: el curso desarrolla su capacidad de razonar con modelos, no de transcribir conclusiones. Cuando use IA para explorar un tema de política económica, contraste al menos dos posiciones y cite evidencia verificable — la IA tiende a presentar consensos donde hay debate.</w:t>
      </w:r>
    </w:p>
    <w:p>
      <w:pPr>
        <w:pStyle w:val="Heading1"/>
        <w:spacing w:after="160" w:before="360"/>
      </w:pPr>
      <w:r>
        <w:rPr>
          <w:b/>
          <w:bCs/>
          <w:color w:val="1B3A5C"/>
        </w:rPr>
        <w:t xml:space="preserve">Estadística y analítica de negocios</w:t>
      </w:r>
    </w:p>
    <w:p>
      <w:pPr>
        <w:pBdr>
          <w:left w:val="single" w:color="C9A227" w:sz="18"/>
        </w:pBdr>
        <w:spacing w:after="200"/>
        <w:ind w:left="504"/>
      </w:pPr>
      <w:r>
        <w:rPr>
          <w:i/>
          <w:iCs/>
        </w:rPr>
        <w:t xml:space="preserve">En este curso la IA puede asistirle a depurar código y entender mensajes de error, con divulgación. La selección del método estadístico, la verificación de supuestos y la interpretación de resultados deben ser suyas y podrán ser objeto de defensa oral. Está prohibido: entregar análisis cuyo método no puede justificar, y subir a herramientas de IA bases de datos con información personal identificable. La regla profesional que este curso instala: quien firma el análisis responde por él.</w:t>
      </w:r>
    </w:p>
    <w:p>
      <w:pPr>
        <w:pStyle w:val="Heading1"/>
        <w:spacing w:after="160" w:before="360"/>
      </w:pPr>
      <w:r>
        <w:rPr>
          <w:b/>
          <w:bCs/>
          <w:color w:val="1B3A5C"/>
        </w:rPr>
        <w:t xml:space="preserve">Tabla resumen para el prontuario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1B3A5C" w:val="clear"/>
            <w:tcMar>
              <w:top w:type="dxa" w:w="80"/>
              <w:left w:type="dxa" w:w="100"/>
              <w:bottom w:type="dxa" w:w="80"/>
              <w:right w:type="dxa" w:w="100"/>
            </w:tcMar>
          </w:tcPr>
          <w:p>
            <w:r>
              <w:rPr>
                <w:b/>
                <w:bCs/>
                <w:color w:val="FFFFFF"/>
                <w:sz w:val="20"/>
                <w:szCs w:val="20"/>
              </w:rPr>
              <w:t xml:space="preserve">Disciplina</w:t>
            </w:r>
          </w:p>
        </w:tc>
        <w:tc>
          <w:tcPr>
            <w:tcW w:type="dxa" w:w="3580"/>
            <w:shd w:fill="1B3A5C" w:val="clear"/>
            <w:tcMar>
              <w:top w:type="dxa" w:w="80"/>
              <w:left w:type="dxa" w:w="100"/>
              <w:bottom w:type="dxa" w:w="80"/>
              <w:right w:type="dxa" w:w="100"/>
            </w:tcMar>
          </w:tcPr>
          <w:p>
            <w:r>
              <w:rPr>
                <w:b/>
                <w:bCs/>
                <w:color w:val="FFFFFF"/>
                <w:sz w:val="20"/>
                <w:szCs w:val="20"/>
              </w:rPr>
              <w:t xml:space="preserve">La IA puede</w:t>
            </w:r>
          </w:p>
        </w:tc>
        <w:tc>
          <w:tcPr>
            <w:tcW w:type="dxa" w:w="3580"/>
            <w:shd w:fill="1B3A5C" w:val="clear"/>
            <w:tcMar>
              <w:top w:type="dxa" w:w="80"/>
              <w:left w:type="dxa" w:w="100"/>
              <w:bottom w:type="dxa" w:w="80"/>
              <w:right w:type="dxa" w:w="100"/>
            </w:tcMar>
          </w:tcPr>
          <w:p>
            <w:r>
              <w:rPr>
                <w:b/>
                <w:bCs/>
                <w:color w:val="FFFFFF"/>
                <w:sz w:val="20"/>
                <w:szCs w:val="20"/>
              </w:rPr>
              <w:t xml:space="preserve">Debe ser del estudiante</w:t>
            </w:r>
          </w:p>
        </w:tc>
      </w:tr>
      <w:tr>
        <w:tc>
          <w:tcPr>
            <w:tcW w:type="dxa" w:w="2200"/>
            <w:tcMar>
              <w:top w:type="dxa" w:w="80"/>
              <w:left w:type="dxa" w:w="100"/>
              <w:bottom w:type="dxa" w:w="80"/>
              <w:right w:type="dxa" w:w="100"/>
            </w:tcMar>
          </w:tcPr>
          <w:p>
            <w:r>
              <w:rPr>
                <w:b w:val="false"/>
                <w:bCs w:val="false"/>
                <w:color w:val="000000"/>
                <w:sz w:val="19"/>
                <w:szCs w:val="19"/>
              </w:rPr>
              <w:t xml:space="preserve">Contabilidad</w:t>
            </w:r>
          </w:p>
        </w:tc>
        <w:tc>
          <w:tcPr>
            <w:tcW w:type="dxa" w:w="3580"/>
            <w:tcMar>
              <w:top w:type="dxa" w:w="80"/>
              <w:left w:type="dxa" w:w="100"/>
              <w:bottom w:type="dxa" w:w="80"/>
              <w:right w:type="dxa" w:w="100"/>
            </w:tcMar>
          </w:tcPr>
          <w:p>
            <w:r>
              <w:rPr>
                <w:b w:val="false"/>
                <w:bCs w:val="false"/>
                <w:color w:val="000000"/>
                <w:sz w:val="19"/>
                <w:szCs w:val="19"/>
              </w:rPr>
              <w:t xml:space="preserve">Aclarar conceptos; ejercicios de práctica</w:t>
            </w:r>
          </w:p>
        </w:tc>
        <w:tc>
          <w:tcPr>
            <w:tcW w:type="dxa" w:w="3580"/>
            <w:tcMar>
              <w:top w:type="dxa" w:w="80"/>
              <w:left w:type="dxa" w:w="100"/>
              <w:bottom w:type="dxa" w:w="80"/>
              <w:right w:type="dxa" w:w="100"/>
            </w:tcMar>
          </w:tcPr>
          <w:p>
            <w:r>
              <w:rPr>
                <w:b w:val="false"/>
                <w:bCs w:val="false"/>
                <w:color w:val="000000"/>
                <w:sz w:val="19"/>
                <w:szCs w:val="19"/>
              </w:rPr>
              <w:t xml:space="preserve">Asientos, estados, papeles de trabajo</w:t>
            </w:r>
          </w:p>
        </w:tc>
      </w:tr>
      <w:tr>
        <w:tc>
          <w:tcPr>
            <w:tcW w:type="dxa" w:w="2200"/>
            <w:shd w:fill="F2EFE8" w:val="clear"/>
            <w:tcMar>
              <w:top w:type="dxa" w:w="80"/>
              <w:left w:type="dxa" w:w="100"/>
              <w:bottom w:type="dxa" w:w="80"/>
              <w:right w:type="dxa" w:w="100"/>
            </w:tcMar>
          </w:tcPr>
          <w:p>
            <w:r>
              <w:rPr>
                <w:b w:val="false"/>
                <w:bCs w:val="false"/>
                <w:color w:val="000000"/>
                <w:sz w:val="19"/>
                <w:szCs w:val="19"/>
              </w:rPr>
              <w:t xml:space="preserve">Finanzas</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Explorar conceptos; escenarios</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Modelos, supuestos y recomendaciones</w:t>
            </w:r>
          </w:p>
        </w:tc>
      </w:tr>
      <w:tr>
        <w:tc>
          <w:tcPr>
            <w:tcW w:type="dxa" w:w="2200"/>
            <w:tcMar>
              <w:top w:type="dxa" w:w="80"/>
              <w:left w:type="dxa" w:w="100"/>
              <w:bottom w:type="dxa" w:w="80"/>
              <w:right w:type="dxa" w:w="100"/>
            </w:tcMar>
          </w:tcPr>
          <w:p>
            <w:r>
              <w:rPr>
                <w:b w:val="false"/>
                <w:bCs w:val="false"/>
                <w:color w:val="000000"/>
                <w:sz w:val="19"/>
                <w:szCs w:val="19"/>
              </w:rPr>
              <w:t xml:space="preserve">Mercadeo</w:t>
            </w:r>
          </w:p>
        </w:tc>
        <w:tc>
          <w:tcPr>
            <w:tcW w:type="dxa" w:w="3580"/>
            <w:tcMar>
              <w:top w:type="dxa" w:w="80"/>
              <w:left w:type="dxa" w:w="100"/>
              <w:bottom w:type="dxa" w:w="80"/>
              <w:right w:type="dxa" w:w="100"/>
            </w:tcMar>
          </w:tcPr>
          <w:p>
            <w:r>
              <w:rPr>
                <w:b w:val="false"/>
                <w:bCs w:val="false"/>
                <w:color w:val="000000"/>
                <w:sz w:val="19"/>
                <w:szCs w:val="19"/>
              </w:rPr>
              <w:t xml:space="preserve">Borradores de piezas y variantes (con divulgación)</w:t>
            </w:r>
          </w:p>
        </w:tc>
        <w:tc>
          <w:tcPr>
            <w:tcW w:type="dxa" w:w="3580"/>
            <w:tcMar>
              <w:top w:type="dxa" w:w="80"/>
              <w:left w:type="dxa" w:w="100"/>
              <w:bottom w:type="dxa" w:w="80"/>
              <w:right w:type="dxa" w:w="100"/>
            </w:tcMar>
          </w:tcPr>
          <w:p>
            <w:r>
              <w:rPr>
                <w:b w:val="false"/>
                <w:bCs w:val="false"/>
                <w:color w:val="000000"/>
                <w:sz w:val="19"/>
                <w:szCs w:val="19"/>
              </w:rPr>
              <w:t xml:space="preserve">Estrategia, segmentación, justificación</w:t>
            </w:r>
          </w:p>
        </w:tc>
      </w:tr>
      <w:tr>
        <w:tc>
          <w:tcPr>
            <w:tcW w:type="dxa" w:w="2200"/>
            <w:shd w:fill="F2EFE8" w:val="clear"/>
            <w:tcMar>
              <w:top w:type="dxa" w:w="80"/>
              <w:left w:type="dxa" w:w="100"/>
              <w:bottom w:type="dxa" w:w="80"/>
              <w:right w:type="dxa" w:w="100"/>
            </w:tcMar>
          </w:tcPr>
          <w:p>
            <w:r>
              <w:rPr>
                <w:b w:val="false"/>
                <w:bCs w:val="false"/>
                <w:color w:val="000000"/>
                <w:sz w:val="19"/>
                <w:szCs w:val="19"/>
              </w:rPr>
              <w:t xml:space="preserve">Gerencia / RRHH</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Apoyo en preparación de casos</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Decisiones y su justificación ética</w:t>
            </w:r>
          </w:p>
        </w:tc>
      </w:tr>
      <w:tr>
        <w:tc>
          <w:tcPr>
            <w:tcW w:type="dxa" w:w="2200"/>
            <w:tcMar>
              <w:top w:type="dxa" w:w="80"/>
              <w:left w:type="dxa" w:w="100"/>
              <w:bottom w:type="dxa" w:w="80"/>
              <w:right w:type="dxa" w:w="100"/>
            </w:tcMar>
          </w:tcPr>
          <w:p>
            <w:r>
              <w:rPr>
                <w:b w:val="false"/>
                <w:bCs w:val="false"/>
                <w:color w:val="000000"/>
                <w:sz w:val="19"/>
                <w:szCs w:val="19"/>
              </w:rPr>
              <w:t xml:space="preserve">Economía</w:t>
            </w:r>
          </w:p>
        </w:tc>
        <w:tc>
          <w:tcPr>
            <w:tcW w:type="dxa" w:w="3580"/>
            <w:tcMar>
              <w:top w:type="dxa" w:w="80"/>
              <w:left w:type="dxa" w:w="100"/>
              <w:bottom w:type="dxa" w:w="80"/>
              <w:right w:type="dxa" w:w="100"/>
            </w:tcMar>
          </w:tcPr>
          <w:p>
            <w:r>
              <w:rPr>
                <w:b w:val="false"/>
                <w:bCs w:val="false"/>
                <w:color w:val="000000"/>
                <w:sz w:val="19"/>
                <w:szCs w:val="19"/>
              </w:rPr>
              <w:t xml:space="preserve">Repaso, intuiciones, práctica</w:t>
            </w:r>
          </w:p>
        </w:tc>
        <w:tc>
          <w:tcPr>
            <w:tcW w:type="dxa" w:w="3580"/>
            <w:tcMar>
              <w:top w:type="dxa" w:w="80"/>
              <w:left w:type="dxa" w:w="100"/>
              <w:bottom w:type="dxa" w:w="80"/>
              <w:right w:type="dxa" w:w="100"/>
            </w:tcMar>
          </w:tcPr>
          <w:p>
            <w:r>
              <w:rPr>
                <w:b w:val="false"/>
                <w:bCs w:val="false"/>
                <w:color w:val="000000"/>
                <w:sz w:val="19"/>
                <w:szCs w:val="19"/>
              </w:rPr>
              <w:t xml:space="preserve">Análisis, derivaciones, interpretación</w:t>
            </w:r>
          </w:p>
        </w:tc>
      </w:tr>
      <w:tr>
        <w:tc>
          <w:tcPr>
            <w:tcW w:type="dxa" w:w="2200"/>
            <w:shd w:fill="F2EFE8" w:val="clear"/>
            <w:tcMar>
              <w:top w:type="dxa" w:w="80"/>
              <w:left w:type="dxa" w:w="100"/>
              <w:bottom w:type="dxa" w:w="80"/>
              <w:right w:type="dxa" w:w="100"/>
            </w:tcMar>
          </w:tcPr>
          <w:p>
            <w:r>
              <w:rPr>
                <w:b w:val="false"/>
                <w:bCs w:val="false"/>
                <w:color w:val="000000"/>
                <w:sz w:val="19"/>
                <w:szCs w:val="19"/>
              </w:rPr>
              <w:t xml:space="preserve">Estadística / Analítica</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Depurar código, entender errores (con divulgación)</w:t>
            </w:r>
          </w:p>
        </w:tc>
        <w:tc>
          <w:tcPr>
            <w:tcW w:type="dxa" w:w="3580"/>
            <w:shd w:fill="F2EFE8" w:val="clear"/>
            <w:tcMar>
              <w:top w:type="dxa" w:w="80"/>
              <w:left w:type="dxa" w:w="100"/>
              <w:bottom w:type="dxa" w:w="80"/>
              <w:right w:type="dxa" w:w="100"/>
            </w:tcMar>
          </w:tcPr>
          <w:p>
            <w:r>
              <w:rPr>
                <w:b w:val="false"/>
                <w:bCs w:val="false"/>
                <w:color w:val="000000"/>
                <w:sz w:val="19"/>
                <w:szCs w:val="19"/>
              </w:rPr>
              <w:t xml:space="preserve">Método, supuestos, interpretación</w:t>
            </w:r>
          </w:p>
        </w:tc>
      </w:tr>
    </w:tbl>
    <w:p>
      <w:pPr>
        <w:spacing w:after="200"/>
      </w:pPr>
    </w:p>
    <w:p>
      <w:pPr>
        <w:pBdr>
          <w:top w:val="single" w:color="C9A227" w:sz="6"/>
        </w:pBdr>
        <w:spacing w:before="400"/>
        <w:jc w:val="center"/>
      </w:pPr>
      <w:r>
        <w:rPr>
          <w:i/>
          <w:iCs/>
          <w:color w:val="777777"/>
          <w:sz w:val="17"/>
          <w:szCs w:val="17"/>
        </w:rPr>
        <w:t xml:space="preserve">La Inteligencia Artificial en el Salón de Clases · Boletín semanal para profesores universitarios · Pontificia Universidad Católica de Puerto Rico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2026-09-20T13:41:14.337Z</dcterms:created>
  <dcterms:modified xsi:type="dcterms:W3CDTF">2026-09-20T13:41:14.341Z</dcterms:modified>
</cp:coreProperties>
</file>

<file path=docProps/custom.xml><?xml version="1.0" encoding="utf-8"?>
<Properties xmlns="http://schemas.openxmlformats.org/officeDocument/2006/custom-properties" xmlns:vt="http://schemas.openxmlformats.org/officeDocument/2006/docPropsVTypes"/>
</file>