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Guía de prompts para investigación y supervisión de tesis</w:t>
      </w:r>
    </w:p>
    <w:p>
      <w:pPr>
        <w:spacing w:after="360"/>
        <w:jc w:val="center"/>
      </w:pPr>
      <w:r>
        <w:rPr>
          <w:i/>
          <w:iCs/>
          <w:color w:val="555555"/>
          <w:sz w:val="22"/>
          <w:szCs w:val="22"/>
        </w:rPr>
        <w:t xml:space="preserve">Para directores de tesis, comités e investigadores · Con los límites éticos que la supervisión exige</w:t>
      </w:r>
    </w:p>
    <w:p>
      <w:pPr>
        <w:pStyle w:val="Heading1"/>
        <w:spacing w:after="160" w:before="360"/>
      </w:pPr>
      <w:r>
        <w:rPr>
          <w:b/>
          <w:bCs/>
          <w:color w:val="1B3A5C"/>
        </w:rPr>
        <w:t xml:space="preserve">Principios para el director de tesis</w:t>
      </w:r>
    </w:p>
    <w:p>
      <w:pPr>
        <w:pStyle w:val="ListParagraph"/>
        <w:numPr>
          <w:ilvl w:val="0"/>
          <w:numId w:val="2"/>
        </w:numPr>
        <w:spacing w:after="80"/>
      </w:pPr>
      <w:r>
        <w:t xml:space="preserve">La IA asiste al director; nunca lo sustituye ante el estudiante. La retroalimentación que llega al tesista lleva siempre el juicio y la firma del director.</w:t>
      </w:r>
    </w:p>
    <w:p>
      <w:pPr>
        <w:pStyle w:val="ListParagraph"/>
        <w:numPr>
          <w:ilvl w:val="0"/>
          <w:numId w:val="2"/>
        </w:numPr>
        <w:spacing w:after="80"/>
      </w:pPr>
      <w:r>
        <w:t xml:space="preserve">Transparencia bidireccional: si usted usa IA para preparar retroalimentación, decláreselo al estudiante — el estándar que exige es el que modela.</w:t>
      </w:r>
    </w:p>
    <w:p>
      <w:pPr>
        <w:pStyle w:val="ListParagraph"/>
        <w:numPr>
          <w:ilvl w:val="0"/>
          <w:numId w:val="2"/>
        </w:numPr>
        <w:spacing w:after="80"/>
      </w:pPr>
      <w:r>
        <w:t xml:space="preserve">Nunca ingrese a herramientas de IA: datos de participantes, instrumentos sin publicar con información sensible, ni borradores de estudiantes sin su consentimiento informado.</w:t>
      </w:r>
    </w:p>
    <w:p>
      <w:pPr>
        <w:pStyle w:val="ListParagraph"/>
        <w:numPr>
          <w:ilvl w:val="0"/>
          <w:numId w:val="2"/>
        </w:numPr>
        <w:spacing w:after="80"/>
      </w:pPr>
      <w:r>
        <w:t xml:space="preserve">La evidencia de 2026 lo respalda: cuando la IA tiene un «asiento transparente en la mesa» de supervisión, mejora la interacción director-estudiante; cuando opera oculta, la erosiona.</w:t>
      </w:r>
    </w:p>
    <w:p>
      <w:pPr>
        <w:pStyle w:val="Heading1"/>
        <w:spacing w:after="160" w:before="360"/>
      </w:pPr>
      <w:r>
        <w:rPr>
          <w:b/>
          <w:bCs/>
          <w:color w:val="1B3A5C"/>
        </w:rPr>
        <w:t xml:space="preserve">1. Borrador de retroalimentación de capítulo (uso del director)</w:t>
      </w:r>
    </w:p>
    <w:p>
      <w:pPr>
        <w:pBdr>
          <w:left w:val="single" w:color="C9A227" w:sz="18"/>
        </w:pBdr>
        <w:spacing w:after="200"/>
        <w:ind w:left="504"/>
      </w:pPr>
      <w:r>
        <w:rPr>
          <w:i/>
          <w:iCs/>
        </w:rPr>
        <w:t xml:space="preserve">Actúa como lector crítico de trabajos de grado en [DISCIPLINA]. Este es un fragmento de capítulo de tesis (compartido con consentimiento del estudiante, sin datos sensibles): [PEGAR]. Genera un borrador de retroalimentación formativa sobre: coherencia argumental, alineación entre objetivos y método, y vacíos de evidencia. NO evalúes la contribución disciplinar ni sugieras texto para copiar — ese es mi trabajo como director. Formato: 3 fortalezas, 5 áreas de mejora priorizadas con página/sección.</w:t>
      </w:r>
    </w:p>
    <w:p>
      <w:pPr>
        <w:pStyle w:val="Heading1"/>
        <w:spacing w:after="160" w:before="360"/>
      </w:pPr>
      <w:r>
        <w:rPr>
          <w:b/>
          <w:bCs/>
          <w:color w:val="1B3A5C"/>
        </w:rPr>
        <w:t xml:space="preserve">2. Interrogar el diseño metodológico</w:t>
      </w:r>
    </w:p>
    <w:p>
      <w:pPr>
        <w:pBdr>
          <w:left w:val="single" w:color="C9A227" w:sz="18"/>
        </w:pBdr>
        <w:spacing w:after="200"/>
        <w:ind w:left="504"/>
      </w:pPr>
      <w:r>
        <w:rPr>
          <w:i/>
          <w:iCs/>
        </w:rPr>
        <w:t xml:space="preserve">Actúa como metodólogo escéptico. Este es el diseño de investigación propuesto: [RESUMEN DEL DISEÑO]. Formula las 10 preguntas más incisivas que un comité riguroso haría sobre: validez del diseño, amenazas a la validez interna y externa, justificación de la muestra, y alineación pregunta-método-análisis. No respondas las preguntas; el estudiante debe hacerlo.</w:t>
      </w:r>
    </w:p>
    <w:p>
      <w:pPr>
        <w:pStyle w:val="Heading1"/>
        <w:spacing w:after="160" w:before="360"/>
      </w:pPr>
      <w:r>
        <w:rPr>
          <w:b/>
          <w:bCs/>
          <w:color w:val="1B3A5C"/>
        </w:rPr>
        <w:t xml:space="preserve">3. Síntesis de literatura con verificación obligatoria</w:t>
      </w:r>
    </w:p>
    <w:p>
      <w:pPr>
        <w:pBdr>
          <w:left w:val="single" w:color="C9A227" w:sz="18"/>
        </w:pBdr>
        <w:spacing w:after="200"/>
        <w:ind w:left="504"/>
      </w:pPr>
      <w:r>
        <w:rPr>
          <w:i/>
          <w:iCs/>
        </w:rPr>
        <w:t xml:space="preserve">Estoy explorando la literatura sobre [TEMA]. Sugiere líneas de investigación, autores seminales y debates abiertos que debería examinar. IMPORTANTE: para cada referencia que menciones, indícame que debo verificarla en las bases de datos — las citas generadas por IA pueden ser inexactas o inexistentes, y en un trabajo de grado una referencia falsa es una falta grave.</w:t>
      </w:r>
    </w:p>
    <w:p>
      <w:pPr>
        <w:pStyle w:val="Heading1"/>
        <w:spacing w:after="160" w:before="360"/>
      </w:pPr>
      <w:r>
        <w:rPr>
          <w:b/>
          <w:bCs/>
          <w:color w:val="1B3A5C"/>
        </w:rPr>
        <w:t xml:space="preserve">4. Preparación para la defensa</w:t>
      </w:r>
    </w:p>
    <w:p>
      <w:pPr>
        <w:pBdr>
          <w:left w:val="single" w:color="C9A227" w:sz="18"/>
        </w:pBdr>
        <w:spacing w:after="200"/>
        <w:ind w:left="504"/>
      </w:pPr>
      <w:r>
        <w:rPr>
          <w:i/>
          <w:iCs/>
        </w:rPr>
        <w:t xml:space="preserve">Actúa como miembro exigente de un comité de tesis en [DISCIPLINA]. Con base en este resumen de la tesis [PEGAR RESUMEN Y HALLAZGOS], simula la ronda de preguntas de la defensa: preguntas sobre decisiones metodológicas, limitaciones, contribución al campo y aplicaciones. Repregunta cuando mis respuestas sean vagas. Al final, evalúa qué respuestas necesitan trabajo.</w:t>
      </w:r>
    </w:p>
    <w:p>
      <w:pPr>
        <w:pStyle w:val="Heading1"/>
        <w:spacing w:after="160" w:before="360"/>
      </w:pPr>
      <w:r>
        <w:rPr>
          <w:b/>
          <w:bCs/>
          <w:color w:val="1B3A5C"/>
        </w:rPr>
        <w:t xml:space="preserve">5. Revisión de consistencia entre capítulos</w:t>
      </w:r>
    </w:p>
    <w:p>
      <w:pPr>
        <w:pBdr>
          <w:left w:val="single" w:color="C9A227" w:sz="18"/>
        </w:pBdr>
        <w:spacing w:after="200"/>
        <w:ind w:left="504"/>
      </w:pPr>
      <w:r>
        <w:rPr>
          <w:i/>
          <w:iCs/>
        </w:rPr>
        <w:t xml:space="preserve">Estos son los objetivos, preguntas de investigación y el resumen de hallazgos de una tesis: [PEGAR]. Verifica la consistencia: ¿cada pregunta tiene respuesta en los hallazgos?, ¿las conclusiones exceden lo que los datos sostienen?, ¿los objetivos declarados coinciden con lo ejecutado? Presenta las inconsistencias en tabla con la sección donde aparecen.</w:t>
      </w:r>
    </w:p>
    <w:p>
      <w:pPr>
        <w:pStyle w:val="Heading1"/>
        <w:spacing w:after="160" w:before="360"/>
      </w:pPr>
      <w:r>
        <w:rPr>
          <w:b/>
          <w:bCs/>
          <w:color w:val="1B3A5C"/>
        </w:rPr>
        <w:t xml:space="preserve">6. Borrador de la Declaración de Tecnologías de Asistencia</w:t>
      </w:r>
    </w:p>
    <w:p>
      <w:pPr>
        <w:spacing w:after="160"/>
        <w:jc w:val="both"/>
      </w:pPr>
      <w:r>
        <w:t xml:space="preserve">Cada vez más universidades exigen que las tesis incluyan una declaración explícita del uso de IA. Modelo adaptable:</w:t>
      </w:r>
    </w:p>
    <w:p>
      <w:pPr>
        <w:pBdr>
          <w:left w:val="single" w:color="C9A227" w:sz="18"/>
        </w:pBdr>
        <w:spacing w:after="200"/>
        <w:ind w:left="504"/>
      </w:pPr>
      <w:r>
        <w:rPr>
          <w:i/>
          <w:iCs/>
        </w:rPr>
        <w:t xml:space="preserve">Declaración de Tecnologías de Asistencia: Durante el desarrollo de esta tesis se utilizaron las siguientes herramientas de IA: [HERRAMIENTA Y VERSIÓN] para [PROPÓSITO: p. ej., mejora de redacción, exploración bibliográfica preliminar, depuración de código]. Todos los resultados fueron verificados contra fuentes primarias. La IA no se utilizó en [ÁMBITOS EXCLUIDOS: p. ej., análisis de datos, interpretación de resultados, redacción sustantiva]. El diseño, la ejecución, el análisis y las conclusiones son responsabilidad del autor. Usos aprobados por el comité el [FECHA].</w:t>
      </w:r>
    </w:p>
    <w:p>
      <w:pPr>
        <w:pStyle w:val="Heading1"/>
        <w:spacing w:after="160" w:before="360"/>
      </w:pPr>
      <w:r>
        <w:rPr>
          <w:b/>
          <w:bCs/>
          <w:color w:val="1B3A5C"/>
        </w:rPr>
        <w:t xml:space="preserve">Recordatorio final</w:t>
      </w:r>
    </w:p>
    <w:p>
      <w:pPr>
        <w:spacing w:after="160"/>
        <w:jc w:val="both"/>
      </w:pPr>
      <w:r>
        <w:t xml:space="preserve">La literatura de 2026 advierte que la responsabilidad ética del uso de IA en tesis se está desplazando hacia los directores sin marcos institucionales que los respalden. Protéjase y proteja a sus estudiantes: acuerde por escrito, al inicio de la supervisión, qué usos de IA están permitidos en cada fase del trabajo — la plantilla de cláusulas para cursos graduados de nuestra colección incluye el lenguaje modelo.</w:t>
      </w: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2026-09-27T12:48:46.795Z</dcterms:created>
  <dcterms:modified xsi:type="dcterms:W3CDTF">2026-09-27T12:48:46.795Z</dcterms:modified>
</cp:coreProperties>
</file>

<file path=docProps/custom.xml><?xml version="1.0" encoding="utf-8"?>
<Properties xmlns="http://schemas.openxmlformats.org/officeDocument/2006/custom-properties" xmlns:vt="http://schemas.openxmlformats.org/officeDocument/2006/docPropsVTypes"/>
</file>