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color w:val="1B3A5C"/>
        </w:rPr>
        <w:t xml:space="preserve">Guion del primer día: presentar la política de IA como conversación</w:t>
      </w:r>
    </w:p>
    <w:p>
      <w:pPr>
        <w:spacing w:after="360"/>
        <w:jc w:val="center"/>
      </w:pPr>
      <w:r>
        <w:rPr>
          <w:i/>
          <w:iCs/>
          <w:color w:val="555555"/>
          <w:sz w:val="22"/>
          <w:szCs w:val="22"/>
        </w:rPr>
        <w:t xml:space="preserve">Agenda de 20 minutos, preguntas para la clase y actividad de calibración · Adaptable a cualquier curso</w:t>
      </w:r>
    </w:p>
    <w:p>
      <w:pPr>
        <w:pStyle w:val="Heading1"/>
        <w:spacing w:after="160" w:before="360"/>
      </w:pPr>
      <w:r>
        <w:rPr>
          <w:b/>
          <w:bCs/>
          <w:color w:val="1B3A5C"/>
        </w:rPr>
        <w:t xml:space="preserve">Por qué una conversación y no una lectura de reglas</w:t>
      </w:r>
    </w:p>
    <w:p>
      <w:pPr>
        <w:spacing w:after="160"/>
        <w:jc w:val="both"/>
      </w:pPr>
      <w:r>
        <w:t xml:space="preserve">La evidencia es consistente: los estudiantes llegan de cursos con reglas de IA contradictorias y agradecen la justificación pedagógica; las normas implícitas caducan cada año; y lo que no se dice explícitamente lo decide la norma social estudiantil vigente. Veinte minutos del primer día establecen el contrato del semestre. Este guion está diseñado para ejecutarse después de haber pegado su cláusula de IA en el prontuario (vea nuestras plantillas de cláusulas) — la conversación no sustituye la política escrita; la activa.</w:t>
      </w:r>
    </w:p>
    <w:p>
      <w:pPr>
        <w:pStyle w:val="Heading1"/>
        <w:spacing w:after="160" w:before="360"/>
      </w:pPr>
      <w:r>
        <w:rPr>
          <w:b/>
          <w:bCs/>
          <w:color w:val="1B3A5C"/>
        </w:rPr>
        <w:t xml:space="preserve">Agenda sugerida (20 minutos)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shd w:fill="1B3A5C" w:val="clear"/>
            <w:tcMar>
              <w:top w:type="dxa" w:w="80"/>
              <w:left w:type="dxa" w:w="100"/>
              <w:bottom w:type="dxa" w:w="80"/>
              <w:right w:type="dxa" w:w="100"/>
            </w:tcMar>
          </w:tcPr>
          <w:p>
            <w:r>
              <w:rPr>
                <w:b/>
                <w:bCs/>
                <w:color w:val="FFFFFF"/>
                <w:sz w:val="20"/>
                <w:szCs w:val="20"/>
              </w:rPr>
              <w:t xml:space="preserve">Tiempo</w:t>
            </w:r>
          </w:p>
        </w:tc>
        <w:tc>
          <w:tcPr>
            <w:tcW w:type="dxa" w:w="2600"/>
            <w:shd w:fill="1B3A5C" w:val="clear"/>
            <w:tcMar>
              <w:top w:type="dxa" w:w="80"/>
              <w:left w:type="dxa" w:w="100"/>
              <w:bottom w:type="dxa" w:w="80"/>
              <w:right w:type="dxa" w:w="100"/>
            </w:tcMar>
          </w:tcPr>
          <w:p>
            <w:r>
              <w:rPr>
                <w:b/>
                <w:bCs/>
                <w:color w:val="FFFFFF"/>
                <w:sz w:val="20"/>
                <w:szCs w:val="20"/>
              </w:rPr>
              <w:t xml:space="preserve">Segmento</w:t>
            </w:r>
          </w:p>
        </w:tc>
        <w:tc>
          <w:tcPr>
            <w:tcW w:type="dxa" w:w="5360"/>
            <w:shd w:fill="1B3A5C" w:val="clear"/>
            <w:tcMar>
              <w:top w:type="dxa" w:w="80"/>
              <w:left w:type="dxa" w:w="100"/>
              <w:bottom w:type="dxa" w:w="80"/>
              <w:right w:type="dxa" w:w="100"/>
            </w:tcMar>
          </w:tcPr>
          <w:p>
            <w:r>
              <w:rPr>
                <w:b/>
                <w:bCs/>
                <w:color w:val="FFFFFF"/>
                <w:sz w:val="20"/>
                <w:szCs w:val="20"/>
              </w:rPr>
              <w:t xml:space="preserve">Qué hacer</w:t>
            </w:r>
          </w:p>
        </w:tc>
      </w:tr>
      <w:tr>
        <w:tc>
          <w:tcPr>
            <w:tcW w:type="dxa" w:w="1400"/>
            <w:tcMar>
              <w:top w:type="dxa" w:w="80"/>
              <w:left w:type="dxa" w:w="100"/>
              <w:bottom w:type="dxa" w:w="80"/>
              <w:right w:type="dxa" w:w="100"/>
            </w:tcMar>
          </w:tcPr>
          <w:p>
            <w:r>
              <w:rPr>
                <w:b w:val="false"/>
                <w:bCs w:val="false"/>
                <w:color w:val="000000"/>
                <w:sz w:val="19"/>
                <w:szCs w:val="19"/>
              </w:rPr>
              <w:t xml:space="preserve">3 min</w:t>
            </w:r>
          </w:p>
        </w:tc>
        <w:tc>
          <w:tcPr>
            <w:tcW w:type="dxa" w:w="2600"/>
            <w:tcMar>
              <w:top w:type="dxa" w:w="80"/>
              <w:left w:type="dxa" w:w="100"/>
              <w:bottom w:type="dxa" w:w="80"/>
              <w:right w:type="dxa" w:w="100"/>
            </w:tcMar>
          </w:tcPr>
          <w:p>
            <w:r>
              <w:rPr>
                <w:b w:val="false"/>
                <w:bCs w:val="false"/>
                <w:color w:val="000000"/>
                <w:sz w:val="19"/>
                <w:szCs w:val="19"/>
              </w:rPr>
              <w:t xml:space="preserve">Normalizar</w:t>
            </w:r>
          </w:p>
        </w:tc>
        <w:tc>
          <w:tcPr>
            <w:tcW w:type="dxa" w:w="5360"/>
            <w:tcMar>
              <w:top w:type="dxa" w:w="80"/>
              <w:left w:type="dxa" w:w="100"/>
              <w:bottom w:type="dxa" w:w="80"/>
              <w:right w:type="dxa" w:w="100"/>
            </w:tcMar>
          </w:tcPr>
          <w:p>
            <w:r>
              <w:rPr>
                <w:b w:val="false"/>
                <w:bCs w:val="false"/>
                <w:color w:val="000000"/>
                <w:sz w:val="19"/>
                <w:szCs w:val="19"/>
              </w:rPr>
              <w:t xml:space="preserve">Abra con el dato, no con la amenaza: «La gran mayoría de los universitarios usa IA en sus estudios. Este curso no finge lo contrario — hablemos de cómo usarla bien aquí.»</w:t>
            </w:r>
          </w:p>
        </w:tc>
      </w:tr>
      <w:tr>
        <w:tc>
          <w:tcPr>
            <w:tcW w:type="dxa" w:w="1400"/>
            <w:shd w:fill="F2EFE8" w:val="clear"/>
            <w:tcMar>
              <w:top w:type="dxa" w:w="80"/>
              <w:left w:type="dxa" w:w="100"/>
              <w:bottom w:type="dxa" w:w="80"/>
              <w:right w:type="dxa" w:w="100"/>
            </w:tcMar>
          </w:tcPr>
          <w:p>
            <w:r>
              <w:rPr>
                <w:b w:val="false"/>
                <w:bCs w:val="false"/>
                <w:color w:val="000000"/>
                <w:sz w:val="19"/>
                <w:szCs w:val="19"/>
              </w:rPr>
              <w:t xml:space="preserve">5 min</w:t>
            </w:r>
          </w:p>
        </w:tc>
        <w:tc>
          <w:tcPr>
            <w:tcW w:type="dxa" w:w="2600"/>
            <w:shd w:fill="F2EFE8" w:val="clear"/>
            <w:tcMar>
              <w:top w:type="dxa" w:w="80"/>
              <w:left w:type="dxa" w:w="100"/>
              <w:bottom w:type="dxa" w:w="80"/>
              <w:right w:type="dxa" w:w="100"/>
            </w:tcMar>
          </w:tcPr>
          <w:p>
            <w:r>
              <w:rPr>
                <w:b w:val="false"/>
                <w:bCs w:val="false"/>
                <w:color w:val="000000"/>
                <w:sz w:val="19"/>
                <w:szCs w:val="19"/>
              </w:rPr>
              <w:t xml:space="preserve">Escuchar</w:t>
            </w:r>
          </w:p>
        </w:tc>
        <w:tc>
          <w:tcPr>
            <w:tcW w:type="dxa" w:w="5360"/>
            <w:shd w:fill="F2EFE8" w:val="clear"/>
            <w:tcMar>
              <w:top w:type="dxa" w:w="80"/>
              <w:left w:type="dxa" w:w="100"/>
              <w:bottom w:type="dxa" w:w="80"/>
              <w:right w:type="dxa" w:w="100"/>
            </w:tcMar>
          </w:tcPr>
          <w:p>
            <w:r>
              <w:rPr>
                <w:b w:val="false"/>
                <w:bCs w:val="false"/>
                <w:color w:val="000000"/>
                <w:sz w:val="19"/>
                <w:szCs w:val="19"/>
              </w:rPr>
              <w:t xml:space="preserve">Dos preguntas a la clase (ver banco abajo). Escuche sin corregir: está midiendo la norma social con la que llegan.</w:t>
            </w:r>
          </w:p>
        </w:tc>
      </w:tr>
      <w:tr>
        <w:tc>
          <w:tcPr>
            <w:tcW w:type="dxa" w:w="1400"/>
            <w:tcMar>
              <w:top w:type="dxa" w:w="80"/>
              <w:left w:type="dxa" w:w="100"/>
              <w:bottom w:type="dxa" w:w="80"/>
              <w:right w:type="dxa" w:w="100"/>
            </w:tcMar>
          </w:tcPr>
          <w:p>
            <w:r>
              <w:rPr>
                <w:b w:val="false"/>
                <w:bCs w:val="false"/>
                <w:color w:val="000000"/>
                <w:sz w:val="19"/>
                <w:szCs w:val="19"/>
              </w:rPr>
              <w:t xml:space="preserve">5 min</w:t>
            </w:r>
          </w:p>
        </w:tc>
        <w:tc>
          <w:tcPr>
            <w:tcW w:type="dxa" w:w="2600"/>
            <w:tcMar>
              <w:top w:type="dxa" w:w="80"/>
              <w:left w:type="dxa" w:w="100"/>
              <w:bottom w:type="dxa" w:w="80"/>
              <w:right w:type="dxa" w:w="100"/>
            </w:tcMar>
          </w:tcPr>
          <w:p>
            <w:r>
              <w:rPr>
                <w:b w:val="false"/>
                <w:bCs w:val="false"/>
                <w:color w:val="000000"/>
                <w:sz w:val="19"/>
                <w:szCs w:val="19"/>
              </w:rPr>
              <w:t xml:space="preserve">Explicar el porqué</w:t>
            </w:r>
          </w:p>
        </w:tc>
        <w:tc>
          <w:tcPr>
            <w:tcW w:type="dxa" w:w="5360"/>
            <w:tcMar>
              <w:top w:type="dxa" w:w="80"/>
              <w:left w:type="dxa" w:w="100"/>
              <w:bottom w:type="dxa" w:w="80"/>
              <w:right w:type="dxa" w:w="100"/>
            </w:tcMar>
          </w:tcPr>
          <w:p>
            <w:r>
              <w:rPr>
                <w:b w:val="false"/>
                <w:bCs w:val="false"/>
                <w:color w:val="000000"/>
                <w:sz w:val="19"/>
                <w:szCs w:val="19"/>
              </w:rPr>
              <w:t xml:space="preserve">Presente su política y el nivel de cada tipo de tarea — y justifique cada regla con el objetivo de aprendizaje que protege: «En este curso, X se hace sin IA porque la destreza que certifico es...»</w:t>
            </w:r>
          </w:p>
        </w:tc>
      </w:tr>
      <w:tr>
        <w:tc>
          <w:tcPr>
            <w:tcW w:type="dxa" w:w="1400"/>
            <w:shd w:fill="F2EFE8" w:val="clear"/>
            <w:tcMar>
              <w:top w:type="dxa" w:w="80"/>
              <w:left w:type="dxa" w:w="100"/>
              <w:bottom w:type="dxa" w:w="80"/>
              <w:right w:type="dxa" w:w="100"/>
            </w:tcMar>
          </w:tcPr>
          <w:p>
            <w:r>
              <w:rPr>
                <w:b w:val="false"/>
                <w:bCs w:val="false"/>
                <w:color w:val="000000"/>
                <w:sz w:val="19"/>
                <w:szCs w:val="19"/>
              </w:rPr>
              <w:t xml:space="preserve">5 min</w:t>
            </w:r>
          </w:p>
        </w:tc>
        <w:tc>
          <w:tcPr>
            <w:tcW w:type="dxa" w:w="2600"/>
            <w:shd w:fill="F2EFE8" w:val="clear"/>
            <w:tcMar>
              <w:top w:type="dxa" w:w="80"/>
              <w:left w:type="dxa" w:w="100"/>
              <w:bottom w:type="dxa" w:w="80"/>
              <w:right w:type="dxa" w:w="100"/>
            </w:tcMar>
          </w:tcPr>
          <w:p>
            <w:r>
              <w:rPr>
                <w:b w:val="false"/>
                <w:bCs w:val="false"/>
                <w:color w:val="000000"/>
                <w:sz w:val="19"/>
                <w:szCs w:val="19"/>
              </w:rPr>
              <w:t xml:space="preserve">Calibrar</w:t>
            </w:r>
          </w:p>
        </w:tc>
        <w:tc>
          <w:tcPr>
            <w:tcW w:type="dxa" w:w="5360"/>
            <w:shd w:fill="F2EFE8" w:val="clear"/>
            <w:tcMar>
              <w:top w:type="dxa" w:w="80"/>
              <w:left w:type="dxa" w:w="100"/>
              <w:bottom w:type="dxa" w:w="80"/>
              <w:right w:type="dxa" w:w="100"/>
            </w:tcMar>
          </w:tcPr>
          <w:p>
            <w:r>
              <w:rPr>
                <w:b w:val="false"/>
                <w:bCs w:val="false"/>
                <w:color w:val="000000"/>
                <w:sz w:val="19"/>
                <w:szCs w:val="19"/>
              </w:rPr>
              <w:t xml:space="preserve">Actividad de calibración: muestre dos usos de IA sobre la misma tarea (uno aceptable, uno no) y pida a la clase votar y argumentar cuál es cuál antes de revelar su juicio.</w:t>
            </w:r>
          </w:p>
        </w:tc>
      </w:tr>
      <w:tr>
        <w:tc>
          <w:tcPr>
            <w:tcW w:type="dxa" w:w="1400"/>
            <w:tcMar>
              <w:top w:type="dxa" w:w="80"/>
              <w:left w:type="dxa" w:w="100"/>
              <w:bottom w:type="dxa" w:w="80"/>
              <w:right w:type="dxa" w:w="100"/>
            </w:tcMar>
          </w:tcPr>
          <w:p>
            <w:r>
              <w:rPr>
                <w:b w:val="false"/>
                <w:bCs w:val="false"/>
                <w:color w:val="000000"/>
                <w:sz w:val="19"/>
                <w:szCs w:val="19"/>
              </w:rPr>
              <w:t xml:space="preserve">2 min</w:t>
            </w:r>
          </w:p>
        </w:tc>
        <w:tc>
          <w:tcPr>
            <w:tcW w:type="dxa" w:w="2600"/>
            <w:tcMar>
              <w:top w:type="dxa" w:w="80"/>
              <w:left w:type="dxa" w:w="100"/>
              <w:bottom w:type="dxa" w:w="80"/>
              <w:right w:type="dxa" w:w="100"/>
            </w:tcMar>
          </w:tcPr>
          <w:p>
            <w:r>
              <w:rPr>
                <w:b w:val="false"/>
                <w:bCs w:val="false"/>
                <w:color w:val="000000"/>
                <w:sz w:val="19"/>
                <w:szCs w:val="19"/>
              </w:rPr>
              <w:t xml:space="preserve">Cerrar el contrato</w:t>
            </w:r>
          </w:p>
        </w:tc>
        <w:tc>
          <w:tcPr>
            <w:tcW w:type="dxa" w:w="5360"/>
            <w:tcMar>
              <w:top w:type="dxa" w:w="80"/>
              <w:left w:type="dxa" w:w="100"/>
              <w:bottom w:type="dxa" w:w="80"/>
              <w:right w:type="dxa" w:w="100"/>
            </w:tcMar>
          </w:tcPr>
          <w:p>
            <w:r>
              <w:rPr>
                <w:b w:val="false"/>
                <w:bCs w:val="false"/>
                <w:color w:val="000000"/>
                <w:sz w:val="19"/>
                <w:szCs w:val="19"/>
              </w:rPr>
              <w:t xml:space="preserve">Señale dónde vive la política (prontuario y cada tarea), cómo declarar el uso, y a quién preguntar en caso de duda: «cuando dude, pregunte antes — nunca es falta preguntar».</w:t>
            </w:r>
          </w:p>
        </w:tc>
      </w:tr>
    </w:tbl>
    <w:p>
      <w:pPr>
        <w:pStyle w:val="Heading1"/>
        <w:spacing w:after="160" w:before="360"/>
      </w:pPr>
      <w:r>
        <w:rPr>
          <w:b/>
          <w:bCs/>
          <w:color w:val="1B3A5C"/>
        </w:rPr>
        <w:t xml:space="preserve">Banco de preguntas para el segmento de escucha</w:t>
      </w:r>
    </w:p>
    <w:p>
      <w:pPr>
        <w:pStyle w:val="ListParagraph"/>
        <w:numPr>
          <w:ilvl w:val="0"/>
          <w:numId w:val="2"/>
        </w:numPr>
        <w:spacing w:after="80"/>
      </w:pPr>
      <w:r>
        <w:t xml:space="preserve">¿Para qué usaron IA el semestre pasado que les funcionó bien? ¿Y qué les salió mal?</w:t>
      </w:r>
    </w:p>
    <w:p>
      <w:pPr>
        <w:pStyle w:val="ListParagraph"/>
        <w:numPr>
          <w:ilvl w:val="0"/>
          <w:numId w:val="2"/>
        </w:numPr>
        <w:spacing w:after="80"/>
      </w:pPr>
      <w:r>
        <w:t xml:space="preserve">¿Dónde creen ustedes que debería estar la línea en ESTE curso? ¿Por qué?</w:t>
      </w:r>
    </w:p>
    <w:p>
      <w:pPr>
        <w:pStyle w:val="ListParagraph"/>
        <w:numPr>
          <w:ilvl w:val="0"/>
          <w:numId w:val="2"/>
        </w:numPr>
        <w:spacing w:after="80"/>
      </w:pPr>
      <w:r>
        <w:t xml:space="preserve">¿Qué les molesta de cómo otros cursos manejan la IA?</w:t>
      </w:r>
    </w:p>
    <w:p>
      <w:pPr>
        <w:pStyle w:val="ListParagraph"/>
        <w:numPr>
          <w:ilvl w:val="0"/>
          <w:numId w:val="2"/>
        </w:numPr>
        <w:spacing w:after="80"/>
      </w:pPr>
      <w:r>
        <w:t xml:space="preserve">¿Qué creen que pasa con su aprendizaje cuando la IA hace la parte difícil?</w:t>
      </w:r>
    </w:p>
    <w:p>
      <w:pPr>
        <w:pStyle w:val="Heading1"/>
        <w:spacing w:after="160" w:before="360"/>
      </w:pPr>
      <w:r>
        <w:rPr>
          <w:b/>
          <w:bCs/>
          <w:color w:val="1B3A5C"/>
        </w:rPr>
        <w:t xml:space="preserve">Actividad de calibración: ejemplo adaptable</w:t>
      </w:r>
    </w:p>
    <w:p>
      <w:pPr>
        <w:pBdr>
          <w:left w:val="single" w:color="C9A227" w:sz="18"/>
        </w:pBdr>
        <w:spacing w:after="200"/>
        <w:ind w:left="504"/>
      </w:pPr>
      <w:r>
        <w:rPr>
          <w:i/>
          <w:iCs/>
        </w:rPr>
        <w:t xml:space="preserve">Tarea de ejemplo: analizar un caso de empresa. USO A: el estudiante pide a la IA un resumen del marco teórico, lo verifica con el libro de texto, construye su propio análisis del caso y usa la IA para pulir la redacción final, declarándolo. USO B: el estudiante pega el caso completo en la IA, pide «analízalo con el marco X», reorganiza los párrafos y entrega. Pregunta a la clase: ¿cuál cumple la política del curso y por qué? ¿Qué aprendió cada estudiante?</w:t>
      </w:r>
    </w:p>
    <w:p>
      <w:pPr>
        <w:pStyle w:val="Heading1"/>
        <w:spacing w:after="160" w:before="360"/>
      </w:pPr>
      <w:r>
        <w:rPr>
          <w:b/>
          <w:bCs/>
          <w:color w:val="1B3A5C"/>
        </w:rPr>
        <w:t xml:space="preserve">Después del primer día</w:t>
      </w:r>
    </w:p>
    <w:p>
      <w:pPr>
        <w:pStyle w:val="ListParagraph"/>
        <w:numPr>
          <w:ilvl w:val="0"/>
          <w:numId w:val="2"/>
        </w:numPr>
        <w:spacing w:after="80"/>
      </w:pPr>
      <w:r>
        <w:t xml:space="preserve">Repita la política en cada consigna de tarea (dos líneas bastan): la claridad a nivel de tarea previene la mayoría de los casos de integridad.</w:t>
      </w:r>
    </w:p>
    <w:p>
      <w:pPr>
        <w:pStyle w:val="ListParagraph"/>
        <w:numPr>
          <w:ilvl w:val="0"/>
          <w:numId w:val="2"/>
        </w:numPr>
        <w:spacing w:after="80"/>
      </w:pPr>
      <w:r>
        <w:t xml:space="preserve">Vuelva a la conversación a mitad de semestre: diez minutos para preguntar qué está funcionando y qué no.</w:t>
      </w:r>
    </w:p>
    <w:p>
      <w:pPr>
        <w:pStyle w:val="ListParagraph"/>
        <w:numPr>
          <w:ilvl w:val="0"/>
          <w:numId w:val="2"/>
        </w:numPr>
        <w:spacing w:after="80"/>
      </w:pPr>
      <w:r>
        <w:t xml:space="preserve">Modele lo que exige: cuando use IA para preparar la clase, dígalo.</w:t>
      </w:r>
    </w:p>
    <w:p>
      <w:pPr>
        <w:pBdr>
          <w:top w:val="single" w:color="C9A227" w:sz="6"/>
        </w:pBdr>
        <w:spacing w:before="400"/>
        <w:jc w:val="center"/>
      </w:pPr>
      <w:r>
        <w:rPr>
          <w:i/>
          <w:iCs/>
          <w:color w:val="777777"/>
          <w:sz w:val="17"/>
          <w:szCs w:val="17"/>
        </w:rPr>
        <w:t xml:space="preserve">La Inteligencia Artificial en el Salón de Clases · Boletín semanal para profesores universitarios · Pontificia Universidad Católica de Puerto Rico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2026-10-04T13:22:27.016Z</dcterms:created>
  <dcterms:modified xsi:type="dcterms:W3CDTF">2026-10-04T13:22:27.016Z</dcterms:modified>
</cp:coreProperties>
</file>

<file path=docProps/custom.xml><?xml version="1.0" encoding="utf-8"?>
<Properties xmlns="http://schemas.openxmlformats.org/officeDocument/2006/custom-properties" xmlns:vt="http://schemas.openxmlformats.org/officeDocument/2006/docPropsVTypes"/>
</file>