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B3A5C"/>
        </w:rPr>
        <w:t xml:space="preserve">Rúbrica de alfabetización en IA del estudiante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Instrumento de avalúo de la competencia de alfabetización en IA · Alineable con Learning Goals de programa y AACSB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Propósito y uso</w:t>
      </w:r>
    </w:p>
    <w:p>
      <w:pPr>
        <w:spacing w:after="160"/>
        <w:jc w:val="both"/>
      </w:pPr>
      <w:r>
        <w:t xml:space="preserve">A diferencia de nuestra rúbrica de uso responsable (que evalúa el uso de IA en un trabajo específico), este instrumento evalúa la alfabetización en IA como competencia del estudiante — apta para servir de medida directa en un ciclo de Assurance of Learning cuando el programa adopta la alfabetización en IA como Learning Goal. Puede aplicarse a un artefacto dedicado (p. ej., un análisis crítico de resultados de IA, un proyecto con bitácora de colaboración humano-IA) o como rúbrica de salida en cursos capstone. La evidencia de 2026 respalda su pertinencia: la alfabetización en IA es el factor protector medible contra los efectos negativos de la dependencia.</w:t>
      </w:r>
    </w:p>
    <w:p>
      <w:pPr>
        <w:spacing w:after="160"/>
        <w:jc w:val="both"/>
      </w:pPr>
      <w:r>
        <w:t xml:space="preserve">Escala: Ejemplar (4) · Competente (3) · En desarrollo (2) · Insuficiente (1). Estándar de logro sugerido para AoL: 80% de los estudiantes en nivel 3 o superior.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Rúbrica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1910"/>
        <w:gridCol w:w="1910"/>
        <w:gridCol w:w="1910"/>
        <w:gridCol w:w="1910"/>
      </w:tblGrid>
      <w:tr>
        <w:tc>
          <w:tcPr>
            <w:tcW w:type="dxa" w:w="172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Ejemplar (4)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Competente (3)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 desarrollo (2)</w:t>
            </w:r>
          </w:p>
        </w:tc>
        <w:tc>
          <w:tcPr>
            <w:tcW w:type="dxa" w:w="1910"/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Insuficiente (1)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Comprensión conceptual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Explica con precisión qué hacen los modelos generativos, sus límites (invenciones, sesgos, corte de datos) y las implicaciones para su disciplina.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Explica correctamente el funcionamiento general y los límites principales de la IA generativa.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Nociones parciales; confunde capacidades reales con atribuciones populares.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Concepción errónea del funcionamiento; atribuye a la IA autoridad o comprensión que no tiene.</w:t>
            </w:r>
          </w:p>
        </w:tc>
      </w:tr>
      <w:tr>
        <w:tc>
          <w:tcPr>
            <w:tcW w:type="dxa" w:w="1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Uso estratégico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Formula instrucciones con contexto, rol y formato; itera con criterio; elige cuándo usar y cuándo no usar IA según el objetivo de aprendizaje o trabajo.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Formula instrucciones claras y ajusta cuando el resultado no sirve; distingue tareas aptas de no aptas.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Uso funcional pero genérico; acepta el primer resultado; no distingue tareas aptas.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Uso mecánico como buscador de respuestas; sin iteración ni criterio de pertinencia.</w:t>
            </w:r>
          </w:p>
        </w:tc>
      </w:tr>
      <w:tr>
        <w:tc>
          <w:tcPr>
            <w:tcW w:type="dxa" w:w="1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Evaluación crítica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 sistemáticamente contra fuentes confiables; detecta errores, sesgos y omisiones; documenta la verificación.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 los resultados importantes y corrige errores evidentes.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Verificación ocasional o superficial; reproduce algún contenido sin contrastar.</w:t>
            </w:r>
          </w:p>
        </w:tc>
        <w:tc>
          <w:tcPr>
            <w:tcW w:type="dxa" w:w="19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Acepta y reproduce contenido de IA sin verificación alguna.</w:t>
            </w:r>
          </w:p>
        </w:tc>
      </w:tr>
      <w:tr>
        <w:tc>
          <w:tcPr>
            <w:tcW w:type="dxa" w:w="1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Ética y ciudadanía digital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 las normas de divulgación y atribución sin recordatorio; protege datos propios y ajenos; razona sobre las implicaciones sociales y profesionales del uso de IA.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Cumple las normas de divulgación y protección de datos; reconoce dilemas éticos relevantes.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Cumplimiento irregular; conciencia limitada de los riesgos de datos o atribución.</w:t>
            </w:r>
          </w:p>
        </w:tc>
        <w:tc>
          <w:tcPr>
            <w:tcW w:type="dxa" w:w="191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Ignora las normas de divulgación o expone datos; no reconoce dimensión ética alguna.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B3A5C"/>
        </w:rPr>
        <w:t xml:space="preserve">Notas para el avalúo de programa (AoL)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Punto de medición sugerido: curso capstone o curso avanzado requerido, con re-medición en el siguiente ciclo tras las acciones de mejora.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Recoja la evidencia con un artefacto común entre secciones para asegurar comparabilidad.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Reporte por criterio, no solo el total: los perfiles típicos muestran fortaleza en uso estratégico y debilidad en evaluación crítica — esa brecha es la acción de mejora natural.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Alineación AACSB: documente esta rúbrica como medida directa del Learning Goal de tecnología/analítica o del de pensamiento crítico, según el mapeo de su programa.</w:t>
      </w:r>
    </w:p>
    <w:p>
      <w:pPr>
        <w:pBdr>
          <w:top w:val="single" w:color="C9A227" w:sz="6"/>
        </w:pBdr>
        <w:spacing w:before="400"/>
        <w:jc w:val="center"/>
      </w:pPr>
      <w:r>
        <w:rPr>
          <w:i/>
          <w:iCs/>
          <w:color w:val="777777"/>
          <w:sz w:val="17"/>
          <w:szCs w:val="17"/>
        </w:rPr>
        <w:t xml:space="preserve">La Inteligencia Artificial en el Salón de Clases · Boletín semanal para profesores universitarios · Pontificia Universidad Católica de Puerto Rico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2026-09-20T13:41:14.345Z</dcterms:created>
  <dcterms:modified xsi:type="dcterms:W3CDTF">2026-09-20T13:41:14.345Z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