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  <w:color w:val="1B3A5C"/>
        </w:rPr>
        <w:t xml:space="preserve">Rúbrica de análisis crítico de salidas de IA</w:t>
      </w:r>
    </w:p>
    <w:p>
      <w:pPr>
        <w:spacing w:after="360"/>
        <w:jc w:val="center"/>
      </w:pPr>
      <w:r>
        <w:rPr>
          <w:i/>
          <w:iCs/>
          <w:color w:val="555555"/>
          <w:sz w:val="22"/>
          <w:szCs w:val="22"/>
        </w:rPr>
        <w:t xml:space="preserve">Para tareas donde el estudiante evalúa, corrige y mejora un resultado generado por IA · Adaptable a cualquier disciplina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Propósito y diseño de la tarea</w:t>
      </w:r>
    </w:p>
    <w:p>
      <w:pPr>
        <w:spacing w:after="160"/>
        <w:jc w:val="both"/>
      </w:pPr>
      <w:r>
        <w:t xml:space="preserve">La evidencia de 2026 identifica la evaluación crítica como el eslabón más débil de la alfabetización en IA: los estudiantes dominan el uso, pero aceptan los resultados sin contrastarlos. Esta rúbrica acompaña el tipo de tarea que ejercita directamente esa destreza: entregue a los estudiantes una salida de IA real (un análisis, un ensayo, un plan de negocio, una interpretación estadística generada por usted con la herramienta) y pídales evaluarla, corregirla y mejorarla con fuentes. Es, además, una tarea naturalmente resiliente: criticar bien un texto exige exactamente la comprensión que copiar no da.</w:t>
      </w:r>
    </w:p>
    <w:p>
      <w:pPr>
        <w:spacing w:after="160"/>
        <w:jc w:val="both"/>
      </w:pPr>
      <w:r>
        <w:t xml:space="preserve">Escala: Ejemplar (4) · Competente (3) · En desarrollo (2) · Insuficiente (1).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Rúbrica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0"/>
        <w:gridCol w:w="1910"/>
        <w:gridCol w:w="1910"/>
        <w:gridCol w:w="1910"/>
        <w:gridCol w:w="1910"/>
      </w:tblGrid>
      <w:tr>
        <w:tc>
          <w:tcPr>
            <w:tcW w:type="dxa" w:w="172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91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Ejemplar (4)</w:t>
            </w:r>
          </w:p>
        </w:tc>
        <w:tc>
          <w:tcPr>
            <w:tcW w:type="dxa" w:w="191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Competente (3)</w:t>
            </w:r>
          </w:p>
        </w:tc>
        <w:tc>
          <w:tcPr>
            <w:tcW w:type="dxa" w:w="191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 desarrollo (2)</w:t>
            </w:r>
          </w:p>
        </w:tc>
        <w:tc>
          <w:tcPr>
            <w:tcW w:type="dxa" w:w="191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Insuficiente (1)</w:t>
            </w:r>
          </w:p>
        </w:tc>
      </w:tr>
      <w:tr>
        <w:tc>
          <w:tcPr>
            <w:tcW w:type="dxa" w:w="17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Detección de errores</w:t>
            </w:r>
          </w:p>
        </w:tc>
        <w:tc>
          <w:tcPr>
            <w:tcW w:type="dxa" w:w="19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Identifica los errores fácticos, conceptuales y de razonamiento de la salida, incluidos los sutiles; distingue error de simplificación aceptable.</w:t>
            </w:r>
          </w:p>
        </w:tc>
        <w:tc>
          <w:tcPr>
            <w:tcW w:type="dxa" w:w="19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Identifica los errores principales de la salida con precisión.</w:t>
            </w:r>
          </w:p>
        </w:tc>
        <w:tc>
          <w:tcPr>
            <w:tcW w:type="dxa" w:w="19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Detecta errores evidentes pero pasa por alto los conceptuales.</w:t>
            </w:r>
          </w:p>
        </w:tc>
        <w:tc>
          <w:tcPr>
            <w:tcW w:type="dxa" w:w="19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detecta errores presentes, o señala como errores afirmaciones correctas.</w:t>
            </w:r>
          </w:p>
        </w:tc>
      </w:tr>
      <w:tr>
        <w:tc>
          <w:tcPr>
            <w:tcW w:type="dxa" w:w="172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Verificación con fuentes</w:t>
            </w:r>
          </w:p>
        </w:tc>
        <w:tc>
          <w:tcPr>
            <w:tcW w:type="dxa" w:w="191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Contrasta las afirmaciones clave contra fuentes confiables citadas correctamente; documenta qué verificó y cómo.</w:t>
            </w:r>
          </w:p>
        </w:tc>
        <w:tc>
          <w:tcPr>
            <w:tcW w:type="dxa" w:w="191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Verifica las afirmaciones principales con al menos una fuente adecuada por punto.</w:t>
            </w:r>
          </w:p>
        </w:tc>
        <w:tc>
          <w:tcPr>
            <w:tcW w:type="dxa" w:w="191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Verificación parcial o con fuentes débiles (otros resultados de IA, sitios sin autoridad).</w:t>
            </w:r>
          </w:p>
        </w:tc>
        <w:tc>
          <w:tcPr>
            <w:tcW w:type="dxa" w:w="191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verifica; su crítica descansa en impresiones.</w:t>
            </w:r>
          </w:p>
        </w:tc>
      </w:tr>
      <w:tr>
        <w:tc>
          <w:tcPr>
            <w:tcW w:type="dxa" w:w="17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Análisis de sesgos y omisiones</w:t>
            </w:r>
          </w:p>
        </w:tc>
        <w:tc>
          <w:tcPr>
            <w:tcW w:type="dxa" w:w="19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Identifica sesgos de encuadre, perspectivas ausentes y lo que la salida omite; explica por qué la omisión importa en el contexto de la disciplina.</w:t>
            </w:r>
          </w:p>
        </w:tc>
        <w:tc>
          <w:tcPr>
            <w:tcW w:type="dxa" w:w="19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Reconoce al menos un sesgo u omisión relevante con explicación.</w:t>
            </w:r>
          </w:p>
        </w:tc>
        <w:tc>
          <w:tcPr>
            <w:tcW w:type="dxa" w:w="19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Menciona sesgos de forma genérica, sin anclarlos en el texto analizado.</w:t>
            </w:r>
          </w:p>
        </w:tc>
        <w:tc>
          <w:tcPr>
            <w:tcW w:type="dxa" w:w="19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considera sesgos ni omisiones.</w:t>
            </w:r>
          </w:p>
        </w:tc>
      </w:tr>
      <w:tr>
        <w:tc>
          <w:tcPr>
            <w:tcW w:type="dxa" w:w="172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Mejora fundamentada</w:t>
            </w:r>
          </w:p>
        </w:tc>
        <w:tc>
          <w:tcPr>
            <w:tcW w:type="dxa" w:w="191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Produce una versión mejorada que corrige los errores, incorpora las fuentes y supera a la salida original en rigor; justifica cada cambio mayor.</w:t>
            </w:r>
          </w:p>
        </w:tc>
        <w:tc>
          <w:tcPr>
            <w:tcW w:type="dxa" w:w="191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Produce una versión mejorada que corrige lo principal, con justificación general.</w:t>
            </w:r>
          </w:p>
        </w:tc>
        <w:tc>
          <w:tcPr>
            <w:tcW w:type="dxa" w:w="191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Edita superficialmente (estilo, orden) sin corregir el fondo.</w:t>
            </w:r>
          </w:p>
        </w:tc>
        <w:tc>
          <w:tcPr>
            <w:tcW w:type="dxa" w:w="191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mejora la salida, o la empeora.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B3A5C"/>
        </w:rPr>
        <w:t xml:space="preserve">Variantes por disciplina (ejemplos)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Estadística: la IA interpreta una regresión con errores de supuestos y causalidad — el estudiante los detecta y reinterpreta.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Contabilidad: la IA clasifica transacciones con errores de norma — el estudiante audita contra NIIF/US GAAP.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Mercadeo: la IA propone una campaña con supuestos de audiencia sin evidencia — el estudiante la somete a datos.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Economía: la IA presenta un consenso donde hay debate — el estudiante reconstruye las posiciones con literatura.</w:t>
      </w:r>
    </w:p>
    <w:p>
      <w:pPr>
        <w:pBdr>
          <w:top w:val="single" w:color="C9A227" w:sz="6"/>
        </w:pBdr>
        <w:spacing w:before="400"/>
        <w:jc w:val="center"/>
      </w:pPr>
      <w:r>
        <w:rPr>
          <w:i/>
          <w:iCs/>
          <w:color w:val="777777"/>
          <w:sz w:val="17"/>
          <w:szCs w:val="17"/>
        </w:rPr>
        <w:t xml:space="preserve">La Inteligencia Artificial en el Salón de Clases · Boletín semanal para profesores universitarios · Pontificia Universidad Católica de Puerto Rico ·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2026-10-04T13:22:27.020Z</dcterms:created>
  <dcterms:modified xsi:type="dcterms:W3CDTF">2026-10-04T13:22:27.020Z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