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B3A5C"/>
        </w:rPr>
        <w:t xml:space="preserve">Rúbrica de defensa oral y documentación de proceso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Para evaluar el razonamiento demostrable del estudiante en la era de la IA · Adaptable a cualquier disciplina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Propósito y protocolo sugerido</w:t>
      </w:r>
    </w:p>
    <w:p>
      <w:pPr>
        <w:spacing w:after="160"/>
        <w:jc w:val="both"/>
      </w:pPr>
      <w:r>
        <w:t xml:space="preserve">La evidencia de 2026 es consistente: la defensa oral es la forma más directa de hacer visible el aprendizaje propio del estudiante cuando la asistencia de IA es ubicua. Esta rúbrica evalúa una defensa breve (5 a 10 minutos) asociada a un trabajo mayor, junto con la documentación del proceso que lo acompañó. Protocolo sugerido: (1) el estudiante presenta su trabajo en 2-3 minutos sin leer; (2) el docente formula 2-3 preguntas imprevistas — al menos una sobre una decisión específica del trabajo y una que extienda el contenido a una situación nueva; (3) se revisa brevemente la documentación de proceso entregada. Puede realizarse presencialmente o por videoconferencia sincrónica.</w:t>
      </w:r>
    </w:p>
    <w:p>
      <w:pPr>
        <w:spacing w:after="160"/>
        <w:jc w:val="both"/>
      </w:pPr>
      <w:r>
        <w:t xml:space="preserve">Escala: Ejemplar (4) · Competente (3) · En desarrollo (2) · Insuficiente (1).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Rúbrica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1910"/>
        <w:gridCol w:w="1910"/>
        <w:gridCol w:w="1910"/>
        <w:gridCol w:w="1910"/>
      </w:tblGrid>
      <w:tr>
        <w:tc>
          <w:tcPr>
            <w:tcW w:type="dxa" w:w="172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Ejemplar (4)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Competente (3)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 desarrollo (2)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Insuficiente (1)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Dominio del contenido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Explica el trabajo con fluidez y precisión sin apoyo del texto; domina conceptos, datos y conclusiones a profundidad.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Explica el trabajo con seguridad; domina las ideas centrales aunque titubea en detalles secundarios.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Reproduce partes del trabajo pero muestra comprensión superficial de secciones clave.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puede explicar el contenido del trabajo entregado o lo contradice.</w:t>
            </w:r>
          </w:p>
        </w:tc>
      </w:tr>
      <w:tr>
        <w:tc>
          <w:tcPr>
            <w:tcW w:type="dxa" w:w="1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Justificación de decisiones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Explica por qué eligió cada enfoque, qué alternativas descartó y con qué criterio; conecta decisiones con los objetivos del trabajo.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Justifica las decisiones principales con razones válidas, aunque sin explorar alternativas.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Describe qué hizo pero no puede explicar por qué; las decisiones parecen ajenas.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reconoce las decisiones presentes en su propio trabajo.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Respuesta a preguntas imprevistas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Responde con solvencia preguntas nuevas; aplica el contenido a situaciones no discutidas en el trabajo; reconoce límites con honestidad.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Responde adecuadamente la mayoría de las preguntas nuevas con elaboración propia.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Responde con generalidades o repite fragmentos del trabajo sin adaptarlos a la pregunta.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puede responder preguntas que se aparten del texto entregado.</w:t>
            </w:r>
          </w:p>
        </w:tc>
      </w:tr>
      <w:tr>
        <w:tc>
          <w:tcPr>
            <w:tcW w:type="dxa" w:w="1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Documentación del proceso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Entrega borradores, bitácora de decisiones y declaración de uso de IA completos; el proceso documentado explica el producto final.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Entrega la documentación esencial; el proceso es reconstruible aunque con lagunas menores.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Documentación incompleta o genérica; el proceso no explica cómo se llegó al producto.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 documentación de proceso, o documentación inconsistente con el producto entregado.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B3A5C"/>
        </w:rPr>
        <w:t xml:space="preserve">Banco de preguntas imprevistas (adaptables)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¿Por qué eligió este enfoque en la sección X y qué alternativa descartó?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tuviera que rehacer el trabajo con la mitad del tiempo, ¿qué conservaría y qué eliminaría? ¿Por qué?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¿Cómo cambiaría su conclusión si [modificar un supuesto o dato clave]?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¿Cuál es la debilidad principal de su trabajo y cómo la abordaría?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Aplique su hallazgo principal a [situación nueva del contexto local].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¿Qué papel jugó la IA en esta sección y cómo verificó el resultado?</w:t>
      </w:r>
    </w:p>
    <w:p>
      <w:pPr>
        <w:pBdr>
          <w:top w:val="single" w:color="C9A227" w:sz="6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La Inteligencia Artificial en el Salón de Clases · Boletín semanal para profesores universitarios · Pontificia Universidad Católica de Puerto Rico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2026-09-06T13:07:29.086Z</dcterms:created>
  <dcterms:modified xsi:type="dcterms:W3CDTF">2026-09-06T13:07:29.086Z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