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color w:val="1B3A5C"/>
        </w:rPr>
        <w:t xml:space="preserve">Rúbrica de uso responsable de la IA</w:t>
      </w:r>
    </w:p>
    <w:p>
      <w:pPr>
        <w:spacing w:after="360"/>
        <w:jc w:val="center"/>
      </w:pPr>
      <w:r>
        <w:rPr>
          <w:i/>
          <w:iCs/>
          <w:color w:val="555555"/>
          <w:sz w:val="22"/>
          <w:szCs w:val="22"/>
        </w:rPr>
        <w:t xml:space="preserve">Instrumento de avalúo del componente de uso de IA en trabajos académicos · Adaptable a cualquier curso</w:t>
      </w:r>
    </w:p>
    <w:p>
      <w:pPr>
        <w:pStyle w:val="Heading1"/>
        <w:spacing w:after="160" w:before="360"/>
      </w:pPr>
      <w:r>
        <w:rPr>
          <w:b/>
          <w:bCs/>
          <w:color w:val="1B3A5C"/>
        </w:rPr>
        <w:t xml:space="preserve">Propósito y uso</w:t>
      </w:r>
    </w:p>
    <w:p>
      <w:pPr>
        <w:spacing w:after="160"/>
        <w:jc w:val="both"/>
      </w:pPr>
      <w:r>
        <w:t xml:space="preserve">Esta rúbrica evalúa la calidad del uso de inteligencia artificial por parte del estudiante, no el producto académico en sí (que se evalúa con la rúbrica de contenido del curso). Se recomienda asignarle entre 10% y 20% de la calificación de trabajos donde la IA esté permitida (Niveles 2 y 3 de la plantilla de cláusulas). Los cuatro criterios se alinean con la evidencia de 2026: la transparencia, la verificación crítica y la autoría del razonamiento son los factores que distinguen el uso de IA que fortalece el aprendizaje del que lo sustituye.</w:t>
      </w:r>
    </w:p>
    <w:p>
      <w:pPr>
        <w:spacing w:after="160"/>
        <w:jc w:val="both"/>
      </w:pPr>
      <w:r>
        <w:t xml:space="preserve">Escala: Ejemplar (4) · Competente (3) · En desarrollo (2) · Insuficiente (1).</w:t>
      </w:r>
    </w:p>
    <w:p>
      <w:pPr>
        <w:pStyle w:val="Heading1"/>
        <w:spacing w:after="160" w:before="360"/>
      </w:pPr>
      <w:r>
        <w:rPr>
          <w:b/>
          <w:bCs/>
          <w:color w:val="1B3A5C"/>
        </w:rPr>
        <w:t xml:space="preserve">Rúbrica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20"/>
        <w:gridCol w:w="1910"/>
        <w:gridCol w:w="1910"/>
        <w:gridCol w:w="1910"/>
        <w:gridCol w:w="1910"/>
      </w:tblGrid>
      <w:tr>
        <w:tc>
          <w:tcPr>
            <w:tcW w:type="dxa" w:w="1720"/>
            <w:shd w:fill="1B3A5C" w:val="clear"/>
            <w:tcMar>
              <w:top w:type="dxa" w:w="80"/>
              <w:left w:type="dxa" w:w="100"/>
              <w:bottom w:type="dxa" w:w="80"/>
              <w:right w:type="dxa" w:w="100"/>
            </w:tcMar>
          </w:tcPr>
          <w:p>
            <w:r>
              <w:rPr>
                <w:b/>
                <w:bCs/>
                <w:color w:val="FFFFFF"/>
                <w:sz w:val="20"/>
                <w:szCs w:val="20"/>
              </w:rPr>
              <w:t xml:space="preserve">Criterio</w:t>
            </w:r>
          </w:p>
        </w:tc>
        <w:tc>
          <w:tcPr>
            <w:tcW w:type="dxa" w:w="1910"/>
            <w:shd w:fill="1B3A5C" w:val="clear"/>
            <w:tcMar>
              <w:top w:type="dxa" w:w="80"/>
              <w:left w:type="dxa" w:w="100"/>
              <w:bottom w:type="dxa" w:w="80"/>
              <w:right w:type="dxa" w:w="100"/>
            </w:tcMar>
          </w:tcPr>
          <w:p>
            <w:r>
              <w:rPr>
                <w:b/>
                <w:bCs/>
                <w:color w:val="FFFFFF"/>
                <w:sz w:val="20"/>
                <w:szCs w:val="20"/>
              </w:rPr>
              <w:t xml:space="preserve">Ejemplar (4)</w:t>
            </w:r>
          </w:p>
        </w:tc>
        <w:tc>
          <w:tcPr>
            <w:tcW w:type="dxa" w:w="1910"/>
            <w:shd w:fill="1B3A5C" w:val="clear"/>
            <w:tcMar>
              <w:top w:type="dxa" w:w="80"/>
              <w:left w:type="dxa" w:w="100"/>
              <w:bottom w:type="dxa" w:w="80"/>
              <w:right w:type="dxa" w:w="100"/>
            </w:tcMar>
          </w:tcPr>
          <w:p>
            <w:r>
              <w:rPr>
                <w:b/>
                <w:bCs/>
                <w:color w:val="FFFFFF"/>
                <w:sz w:val="20"/>
                <w:szCs w:val="20"/>
              </w:rPr>
              <w:t xml:space="preserve">Competente (3)</w:t>
            </w:r>
          </w:p>
        </w:tc>
        <w:tc>
          <w:tcPr>
            <w:tcW w:type="dxa" w:w="1910"/>
            <w:shd w:fill="1B3A5C" w:val="clear"/>
            <w:tcMar>
              <w:top w:type="dxa" w:w="80"/>
              <w:left w:type="dxa" w:w="100"/>
              <w:bottom w:type="dxa" w:w="80"/>
              <w:right w:type="dxa" w:w="100"/>
            </w:tcMar>
          </w:tcPr>
          <w:p>
            <w:r>
              <w:rPr>
                <w:b/>
                <w:bCs/>
                <w:color w:val="FFFFFF"/>
                <w:sz w:val="20"/>
                <w:szCs w:val="20"/>
              </w:rPr>
              <w:t xml:space="preserve">En desarrollo (2)</w:t>
            </w:r>
          </w:p>
        </w:tc>
        <w:tc>
          <w:tcPr>
            <w:tcW w:type="dxa" w:w="1910"/>
            <w:shd w:fill="1B3A5C" w:val="clear"/>
            <w:tcMar>
              <w:top w:type="dxa" w:w="80"/>
              <w:left w:type="dxa" w:w="100"/>
              <w:bottom w:type="dxa" w:w="80"/>
              <w:right w:type="dxa" w:w="100"/>
            </w:tcMar>
          </w:tcPr>
          <w:p>
            <w:r>
              <w:rPr>
                <w:b/>
                <w:bCs/>
                <w:color w:val="FFFFFF"/>
                <w:sz w:val="20"/>
                <w:szCs w:val="20"/>
              </w:rPr>
              <w:t xml:space="preserve">Insuficiente (1)</w:t>
            </w:r>
          </w:p>
        </w:tc>
      </w:tr>
      <w:tr>
        <w:tc>
          <w:tcPr>
            <w:tcW w:type="dxa" w:w="1720"/>
            <w:tcMar>
              <w:top w:type="dxa" w:w="80"/>
              <w:left w:type="dxa" w:w="100"/>
              <w:bottom w:type="dxa" w:w="80"/>
              <w:right w:type="dxa" w:w="100"/>
            </w:tcMar>
          </w:tcPr>
          <w:p>
            <w:r>
              <w:rPr>
                <w:b/>
                <w:bCs/>
                <w:color w:val="000000"/>
                <w:sz w:val="19"/>
                <w:szCs w:val="19"/>
              </w:rPr>
              <w:t xml:space="preserve">Transparencia y divulgación</w:t>
            </w:r>
          </w:p>
        </w:tc>
        <w:tc>
          <w:tcPr>
            <w:tcW w:type="dxa" w:w="1910"/>
            <w:tcMar>
              <w:top w:type="dxa" w:w="80"/>
              <w:left w:type="dxa" w:w="100"/>
              <w:bottom w:type="dxa" w:w="80"/>
              <w:right w:type="dxa" w:w="100"/>
            </w:tcMar>
          </w:tcPr>
          <w:p>
            <w:r>
              <w:rPr>
                <w:b w:val="false"/>
                <w:bCs w:val="false"/>
                <w:color w:val="000000"/>
                <w:sz w:val="19"/>
                <w:szCs w:val="19"/>
              </w:rPr>
              <w:t xml:space="preserve">Declaración completa y específica: herramienta, propósito, fases y método de verificación. Distingue con precisión las secciones propias.</w:t>
            </w:r>
          </w:p>
        </w:tc>
        <w:tc>
          <w:tcPr>
            <w:tcW w:type="dxa" w:w="1910"/>
            <w:tcMar>
              <w:top w:type="dxa" w:w="80"/>
              <w:left w:type="dxa" w:w="100"/>
              <w:bottom w:type="dxa" w:w="80"/>
              <w:right w:type="dxa" w:w="100"/>
            </w:tcMar>
          </w:tcPr>
          <w:p>
            <w:r>
              <w:rPr>
                <w:b w:val="false"/>
                <w:bCs w:val="false"/>
                <w:color w:val="000000"/>
                <w:sz w:val="19"/>
                <w:szCs w:val="19"/>
              </w:rPr>
              <w:t xml:space="preserve">Declaración presente y veraz, con detalle suficiente aunque general en alguna fase del proceso.</w:t>
            </w:r>
          </w:p>
        </w:tc>
        <w:tc>
          <w:tcPr>
            <w:tcW w:type="dxa" w:w="1910"/>
            <w:tcMar>
              <w:top w:type="dxa" w:w="80"/>
              <w:left w:type="dxa" w:w="100"/>
              <w:bottom w:type="dxa" w:w="80"/>
              <w:right w:type="dxa" w:w="100"/>
            </w:tcMar>
          </w:tcPr>
          <w:p>
            <w:r>
              <w:rPr>
                <w:b w:val="false"/>
                <w:bCs w:val="false"/>
                <w:color w:val="000000"/>
                <w:sz w:val="19"/>
                <w:szCs w:val="19"/>
              </w:rPr>
              <w:t xml:space="preserve">Declaración incompleta o vaga; no permite reconstruir qué hizo la IA y qué hizo el estudiante.</w:t>
            </w:r>
          </w:p>
        </w:tc>
        <w:tc>
          <w:tcPr>
            <w:tcW w:type="dxa" w:w="1910"/>
            <w:tcMar>
              <w:top w:type="dxa" w:w="80"/>
              <w:left w:type="dxa" w:w="100"/>
              <w:bottom w:type="dxa" w:w="80"/>
              <w:right w:type="dxa" w:w="100"/>
            </w:tcMar>
          </w:tcPr>
          <w:p>
            <w:r>
              <w:rPr>
                <w:b w:val="false"/>
                <w:bCs w:val="false"/>
                <w:color w:val="000000"/>
                <w:sz w:val="19"/>
                <w:szCs w:val="19"/>
              </w:rPr>
              <w:t xml:space="preserve">Sin declaración, o declaración que contradice la evidencia del trabajo.</w:t>
            </w:r>
          </w:p>
        </w:tc>
      </w:tr>
      <w:tr>
        <w:tc>
          <w:tcPr>
            <w:tcW w:type="dxa" w:w="1720"/>
            <w:shd w:fill="F2EFE8" w:val="clear"/>
            <w:tcMar>
              <w:top w:type="dxa" w:w="80"/>
              <w:left w:type="dxa" w:w="100"/>
              <w:bottom w:type="dxa" w:w="80"/>
              <w:right w:type="dxa" w:w="100"/>
            </w:tcMar>
          </w:tcPr>
          <w:p>
            <w:r>
              <w:rPr>
                <w:b/>
                <w:bCs/>
                <w:color w:val="000000"/>
                <w:sz w:val="19"/>
                <w:szCs w:val="19"/>
              </w:rPr>
              <w:t xml:space="preserve">Verificación crítica</w:t>
            </w:r>
          </w:p>
        </w:tc>
        <w:tc>
          <w:tcPr>
            <w:tcW w:type="dxa" w:w="1910"/>
            <w:shd w:fill="F2EFE8" w:val="clear"/>
            <w:tcMar>
              <w:top w:type="dxa" w:w="80"/>
              <w:left w:type="dxa" w:w="100"/>
              <w:bottom w:type="dxa" w:w="80"/>
              <w:right w:type="dxa" w:w="100"/>
            </w:tcMar>
          </w:tcPr>
          <w:p>
            <w:r>
              <w:rPr>
                <w:b w:val="false"/>
                <w:bCs w:val="false"/>
                <w:color w:val="000000"/>
                <w:sz w:val="19"/>
                <w:szCs w:val="19"/>
              </w:rPr>
              <w:t xml:space="preserve">Contrasta los resultados de la IA con fuentes confiables; identifica y corrige errores o sesgos; documenta el proceso de verificación.</w:t>
            </w:r>
          </w:p>
        </w:tc>
        <w:tc>
          <w:tcPr>
            <w:tcW w:type="dxa" w:w="1910"/>
            <w:shd w:fill="F2EFE8" w:val="clear"/>
            <w:tcMar>
              <w:top w:type="dxa" w:w="80"/>
              <w:left w:type="dxa" w:w="100"/>
              <w:bottom w:type="dxa" w:w="80"/>
              <w:right w:type="dxa" w:w="100"/>
            </w:tcMar>
          </w:tcPr>
          <w:p>
            <w:r>
              <w:rPr>
                <w:b w:val="false"/>
                <w:bCs w:val="false"/>
                <w:color w:val="000000"/>
                <w:sz w:val="19"/>
                <w:szCs w:val="19"/>
              </w:rPr>
              <w:t xml:space="preserve">Verifica los resultados principales con al menos una fuente independiente; corrige errores evidentes.</w:t>
            </w:r>
          </w:p>
        </w:tc>
        <w:tc>
          <w:tcPr>
            <w:tcW w:type="dxa" w:w="1910"/>
            <w:shd w:fill="F2EFE8" w:val="clear"/>
            <w:tcMar>
              <w:top w:type="dxa" w:w="80"/>
              <w:left w:type="dxa" w:w="100"/>
              <w:bottom w:type="dxa" w:w="80"/>
              <w:right w:type="dxa" w:w="100"/>
            </w:tcMar>
          </w:tcPr>
          <w:p>
            <w:r>
              <w:rPr>
                <w:b w:val="false"/>
                <w:bCs w:val="false"/>
                <w:color w:val="000000"/>
                <w:sz w:val="19"/>
                <w:szCs w:val="19"/>
              </w:rPr>
              <w:t xml:space="preserve">Verificación superficial o selectiva; acepta contenido de IA con errores detectables.</w:t>
            </w:r>
          </w:p>
        </w:tc>
        <w:tc>
          <w:tcPr>
            <w:tcW w:type="dxa" w:w="1910"/>
            <w:shd w:fill="F2EFE8" w:val="clear"/>
            <w:tcMar>
              <w:top w:type="dxa" w:w="80"/>
              <w:left w:type="dxa" w:w="100"/>
              <w:bottom w:type="dxa" w:w="80"/>
              <w:right w:type="dxa" w:w="100"/>
            </w:tcMar>
          </w:tcPr>
          <w:p>
            <w:r>
              <w:rPr>
                <w:b w:val="false"/>
                <w:bCs w:val="false"/>
                <w:color w:val="000000"/>
                <w:sz w:val="19"/>
                <w:szCs w:val="19"/>
              </w:rPr>
              <w:t xml:space="preserve">Acepta el contenido de la IA sin verificación; el trabajo reproduce errores o invenciones de la herramienta.</w:t>
            </w:r>
          </w:p>
        </w:tc>
      </w:tr>
      <w:tr>
        <w:tc>
          <w:tcPr>
            <w:tcW w:type="dxa" w:w="1720"/>
            <w:tcMar>
              <w:top w:type="dxa" w:w="80"/>
              <w:left w:type="dxa" w:w="100"/>
              <w:bottom w:type="dxa" w:w="80"/>
              <w:right w:type="dxa" w:w="100"/>
            </w:tcMar>
          </w:tcPr>
          <w:p>
            <w:r>
              <w:rPr>
                <w:b/>
                <w:bCs/>
                <w:color w:val="000000"/>
                <w:sz w:val="19"/>
                <w:szCs w:val="19"/>
              </w:rPr>
              <w:t xml:space="preserve">Autoría del razonamiento</w:t>
            </w:r>
          </w:p>
        </w:tc>
        <w:tc>
          <w:tcPr>
            <w:tcW w:type="dxa" w:w="1910"/>
            <w:tcMar>
              <w:top w:type="dxa" w:w="80"/>
              <w:left w:type="dxa" w:w="100"/>
              <w:bottom w:type="dxa" w:w="80"/>
              <w:right w:type="dxa" w:w="100"/>
            </w:tcMar>
          </w:tcPr>
          <w:p>
            <w:r>
              <w:rPr>
                <w:b w:val="false"/>
                <w:bCs w:val="false"/>
                <w:color w:val="000000"/>
                <w:sz w:val="19"/>
                <w:szCs w:val="19"/>
              </w:rPr>
              <w:t xml:space="preserve">El análisis, la argumentación y las conclusiones son inequívocamente del estudiante; la IA cumple rol de apoyo documentado. Puede defender cada decisión oralmente.</w:t>
            </w:r>
          </w:p>
        </w:tc>
        <w:tc>
          <w:tcPr>
            <w:tcW w:type="dxa" w:w="1910"/>
            <w:tcMar>
              <w:top w:type="dxa" w:w="80"/>
              <w:left w:type="dxa" w:w="100"/>
              <w:bottom w:type="dxa" w:w="80"/>
              <w:right w:type="dxa" w:w="100"/>
            </w:tcMar>
          </w:tcPr>
          <w:p>
            <w:r>
              <w:rPr>
                <w:b w:val="false"/>
                <w:bCs w:val="false"/>
                <w:color w:val="000000"/>
                <w:sz w:val="19"/>
                <w:szCs w:val="19"/>
              </w:rPr>
              <w:t xml:space="preserve">El razonamiento central es del estudiante; la contribución de la IA es identificable y subordinada.</w:t>
            </w:r>
          </w:p>
        </w:tc>
        <w:tc>
          <w:tcPr>
            <w:tcW w:type="dxa" w:w="1910"/>
            <w:tcMar>
              <w:top w:type="dxa" w:w="80"/>
              <w:left w:type="dxa" w:w="100"/>
              <w:bottom w:type="dxa" w:w="80"/>
              <w:right w:type="dxa" w:w="100"/>
            </w:tcMar>
          </w:tcPr>
          <w:p>
            <w:r>
              <w:rPr>
                <w:b w:val="false"/>
                <w:bCs w:val="false"/>
                <w:color w:val="000000"/>
                <w:sz w:val="19"/>
                <w:szCs w:val="19"/>
              </w:rPr>
              <w:t xml:space="preserve">Partes del análisis descansan en la IA sin elaboración propia; la voz del estudiante es intermitente.</w:t>
            </w:r>
          </w:p>
        </w:tc>
        <w:tc>
          <w:tcPr>
            <w:tcW w:type="dxa" w:w="1910"/>
            <w:tcMar>
              <w:top w:type="dxa" w:w="80"/>
              <w:left w:type="dxa" w:w="100"/>
              <w:bottom w:type="dxa" w:w="80"/>
              <w:right w:type="dxa" w:w="100"/>
            </w:tcMar>
          </w:tcPr>
          <w:p>
            <w:r>
              <w:rPr>
                <w:b w:val="false"/>
                <w:bCs w:val="false"/>
                <w:color w:val="000000"/>
                <w:sz w:val="19"/>
                <w:szCs w:val="19"/>
              </w:rPr>
              <w:t xml:space="preserve">El trabajo es sustancialmente producto de la IA; el estudiante no puede explicar o defender su contenido.</w:t>
            </w:r>
          </w:p>
        </w:tc>
      </w:tr>
      <w:tr>
        <w:tc>
          <w:tcPr>
            <w:tcW w:type="dxa" w:w="1720"/>
            <w:shd w:fill="F2EFE8" w:val="clear"/>
            <w:tcMar>
              <w:top w:type="dxa" w:w="80"/>
              <w:left w:type="dxa" w:w="100"/>
              <w:bottom w:type="dxa" w:w="80"/>
              <w:right w:type="dxa" w:w="100"/>
            </w:tcMar>
          </w:tcPr>
          <w:p>
            <w:r>
              <w:rPr>
                <w:b/>
                <w:bCs/>
                <w:color w:val="000000"/>
                <w:sz w:val="19"/>
                <w:szCs w:val="19"/>
              </w:rPr>
              <w:t xml:space="preserve">Uso ético y responsable</w:t>
            </w:r>
          </w:p>
        </w:tc>
        <w:tc>
          <w:tcPr>
            <w:tcW w:type="dxa" w:w="1910"/>
            <w:shd w:fill="F2EFE8" w:val="clear"/>
            <w:tcMar>
              <w:top w:type="dxa" w:w="80"/>
              <w:left w:type="dxa" w:w="100"/>
              <w:bottom w:type="dxa" w:w="80"/>
              <w:right w:type="dxa" w:w="100"/>
            </w:tcMar>
          </w:tcPr>
          <w:p>
            <w:r>
              <w:rPr>
                <w:b w:val="false"/>
                <w:bCs w:val="false"/>
                <w:color w:val="000000"/>
                <w:sz w:val="19"/>
                <w:szCs w:val="19"/>
              </w:rPr>
              <w:t xml:space="preserve">Respeta la política del curso y el nivel asignado a la tarea; no expone datos personales o confidenciales; reconoce limitaciones y sesgos de la herramienta.</w:t>
            </w:r>
          </w:p>
        </w:tc>
        <w:tc>
          <w:tcPr>
            <w:tcW w:type="dxa" w:w="1910"/>
            <w:shd w:fill="F2EFE8" w:val="clear"/>
            <w:tcMar>
              <w:top w:type="dxa" w:w="80"/>
              <w:left w:type="dxa" w:w="100"/>
              <w:bottom w:type="dxa" w:w="80"/>
              <w:right w:type="dxa" w:w="100"/>
            </w:tcMar>
          </w:tcPr>
          <w:p>
            <w:r>
              <w:rPr>
                <w:b w:val="false"/>
                <w:bCs w:val="false"/>
                <w:color w:val="000000"/>
                <w:sz w:val="19"/>
                <w:szCs w:val="19"/>
              </w:rPr>
              <w:t xml:space="preserve">Cumple la política del curso y las normas de datos; menciona limitaciones de la herramienta.</w:t>
            </w:r>
          </w:p>
        </w:tc>
        <w:tc>
          <w:tcPr>
            <w:tcW w:type="dxa" w:w="1910"/>
            <w:shd w:fill="F2EFE8" w:val="clear"/>
            <w:tcMar>
              <w:top w:type="dxa" w:w="80"/>
              <w:left w:type="dxa" w:w="100"/>
              <w:bottom w:type="dxa" w:w="80"/>
              <w:right w:type="dxa" w:w="100"/>
            </w:tcMar>
          </w:tcPr>
          <w:p>
            <w:r>
              <w:rPr>
                <w:b w:val="false"/>
                <w:bCs w:val="false"/>
                <w:color w:val="000000"/>
                <w:sz w:val="19"/>
                <w:szCs w:val="19"/>
              </w:rPr>
              <w:t xml:space="preserve">Cumplimiento parcial de la política; descuidos menores en el manejo de información o atribución.</w:t>
            </w:r>
          </w:p>
        </w:tc>
        <w:tc>
          <w:tcPr>
            <w:tcW w:type="dxa" w:w="1910"/>
            <w:shd w:fill="F2EFE8" w:val="clear"/>
            <w:tcMar>
              <w:top w:type="dxa" w:w="80"/>
              <w:left w:type="dxa" w:w="100"/>
              <w:bottom w:type="dxa" w:w="80"/>
              <w:right w:type="dxa" w:w="100"/>
            </w:tcMar>
          </w:tcPr>
          <w:p>
            <w:r>
              <w:rPr>
                <w:b w:val="false"/>
                <w:bCs w:val="false"/>
                <w:color w:val="000000"/>
                <w:sz w:val="19"/>
                <w:szCs w:val="19"/>
              </w:rPr>
              <w:t xml:space="preserve">Viola la política del curso o expone información sensible; ignora las normas de atribución.</w:t>
            </w:r>
          </w:p>
        </w:tc>
      </w:tr>
    </w:tbl>
    <w:p>
      <w:pPr>
        <w:pStyle w:val="Heading1"/>
        <w:spacing w:after="160" w:before="360"/>
      </w:pPr>
      <w:r>
        <w:rPr>
          <w:b/>
          <w:bCs/>
          <w:color w:val="1B3A5C"/>
        </w:rPr>
        <w:t xml:space="preserve">Notas para el docente</w:t>
      </w:r>
    </w:p>
    <w:p>
      <w:pPr>
        <w:pStyle w:val="ListParagraph"/>
        <w:numPr>
          <w:ilvl w:val="0"/>
          <w:numId w:val="2"/>
        </w:numPr>
        <w:spacing w:after="80"/>
      </w:pPr>
      <w:r>
        <w:t xml:space="preserve">Comparta la rúbrica junto con la consigna, no después de la entrega: su función principal es formativa.</w:t>
      </w:r>
    </w:p>
    <w:p>
      <w:pPr>
        <w:pStyle w:val="ListParagraph"/>
        <w:numPr>
          <w:ilvl w:val="0"/>
          <w:numId w:val="2"/>
        </w:numPr>
        <w:spacing w:after="80"/>
      </w:pPr>
      <w:r>
        <w:t xml:space="preserve">La defensa oral breve (3-5 minutos) es el mejor complemento del criterio de autoría del razonamiento.</w:t>
      </w:r>
    </w:p>
    <w:p>
      <w:pPr>
        <w:pStyle w:val="ListParagraph"/>
        <w:numPr>
          <w:ilvl w:val="0"/>
          <w:numId w:val="2"/>
        </w:numPr>
        <w:spacing w:after="80"/>
      </w:pPr>
      <w:r>
        <w:t xml:space="preserve">No use detectores de IA como evidencia única: la rúbrica evalúa lo observable en el trabajo y en la defensa.</w:t>
      </w:r>
    </w:p>
    <w:p>
      <w:pPr>
        <w:pStyle w:val="ListParagraph"/>
        <w:numPr>
          <w:ilvl w:val="0"/>
          <w:numId w:val="2"/>
        </w:numPr>
        <w:spacing w:after="80"/>
      </w:pPr>
      <w:r>
        <w:t xml:space="preserve">Alineación con Bloom: los niveles Ejemplar y Competente exigen evaluar y crear; el uso insuficiente se queda en recordar y reproducir.</w:t>
      </w:r>
    </w:p>
    <w:p>
      <w:pPr>
        <w:pBdr>
          <w:top w:val="single" w:color="C9A227" w:sz="6"/>
        </w:pBdr>
        <w:spacing w:before="400"/>
        <w:jc w:val="center"/>
      </w:pPr>
      <w:r>
        <w:rPr>
          <w:i/>
          <w:iCs/>
          <w:color w:val="777777"/>
          <w:sz w:val="17"/>
          <w:szCs w:val="17"/>
        </w:rPr>
        <w:t xml:space="preserve">La Inteligencia Artificial en el Salón de Clases · Boletín semanal para profesores universitarios · Pontificia Universidad Católica de Puerto Rico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2026-08-23T13:11:57.864Z</dcterms:created>
  <dcterms:modified xsi:type="dcterms:W3CDTF">2026-08-23T13:11:57.864Z</dcterms:modified>
</cp:coreProperties>
</file>

<file path=docProps/custom.xml><?xml version="1.0" encoding="utf-8"?>
<Properties xmlns="http://schemas.openxmlformats.org/officeDocument/2006/custom-properties" xmlns:vt="http://schemas.openxmlformats.org/officeDocument/2006/docPropsVTypes"/>
</file>