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Prediction, Theory, Stability, and Genotype × Environment Interaction: An Intellectual Review of Five Influential Thinkers in Modern Plant Breeding</w:t>
      </w:r>
    </w:p>
    <w:p>
      <w:pPr>
        <w:spacing w:before="0" w:after="80"/>
        <w:jc w:val="center"/>
      </w:pPr>
      <w:r>
        <w:rPr>
          <w:rFonts w:ascii="Times New Roman" w:hAnsi="Times New Roman"/>
          <w:b/>
          <w:i w:val="0"/>
          <w:sz w:val="24"/>
        </w:rPr>
        <w:t>Lawrence Stephen Fayeun, Ph.D.</w:t>
      </w:r>
    </w:p>
    <w:p>
      <w:pPr>
        <w:spacing w:before="0" w:after="80"/>
        <w:jc w:val="center"/>
      </w:pPr>
      <w:r>
        <w:rPr>
          <w:rFonts w:ascii="Times New Roman" w:hAnsi="Times New Roman"/>
          <w:b w:val="0"/>
          <w:i/>
          <w:sz w:val="22"/>
        </w:rPr>
        <w:t>Department of Crop, Soil and Pest Management, Federal University of Technology, Akure, Nigeria</w:t>
      </w:r>
    </w:p>
    <w:p/>
    <w:p>
      <w:pPr>
        <w:spacing w:before="0" w:after="80"/>
        <w:jc w:val="center"/>
      </w:pPr>
      <w:r>
        <w:rPr>
          <w:rFonts w:ascii="Times New Roman" w:hAnsi="Times New Roman"/>
          <w:b w:val="0"/>
          <w:i/>
          <w:sz w:val="22"/>
        </w:rPr>
        <w:t>Corresponding Author: Lawrence Stephen Fayeun</w:t>
      </w:r>
    </w:p>
    <w:p>
      <w:pPr>
        <w:spacing w:before="0" w:after="80"/>
        <w:jc w:val="center"/>
      </w:pPr>
      <w:r>
        <w:rPr>
          <w:rFonts w:ascii="Times New Roman" w:hAnsi="Times New Roman"/>
          <w:b w:val="0"/>
          <w:i/>
          <w:sz w:val="22"/>
        </w:rPr>
        <w:t>Email: lsfayeun@futa.edu.ng</w:t>
      </w:r>
    </w:p>
    <w:p>
      <w:pPr>
        <w:spacing w:before="0" w:after="80"/>
        <w:jc w:val="center"/>
      </w:pPr>
      <w:r>
        <w:rPr>
          <w:rFonts w:ascii="Times New Roman" w:hAnsi="Times New Roman"/>
          <w:b w:val="0"/>
          <w:i/>
          <w:sz w:val="22"/>
        </w:rPr>
        <w:t>ORCID: 0000-0001-6772-0406</w:t>
      </w:r>
    </w:p>
    <w:p>
      <w:pPr>
        <w:spacing w:before="0" w:after="160"/>
        <w:jc w:val="center"/>
      </w:pPr>
      <w:r>
        <w:rPr>
          <w:rFonts w:ascii="Times New Roman" w:hAnsi="Times New Roman"/>
          <w:b w:val="0"/>
          <w:i/>
          <w:sz w:val="20"/>
        </w:rPr>
        <w:t>Running Title: Analytical Traditions in Modern Plant Breeding</w:t>
      </w:r>
    </w:p>
    <w:p/>
    <w:p>
      <w:pPr>
        <w:spacing w:before="0" w:after="80"/>
        <w:jc w:val="left"/>
      </w:pPr>
      <w:r>
        <w:rPr>
          <w:rFonts w:ascii="Times New Roman" w:hAnsi="Times New Roman"/>
          <w:b/>
          <w:i w:val="0"/>
          <w:sz w:val="24"/>
        </w:rPr>
        <w:t>Abstract</w:t>
      </w:r>
    </w:p>
    <w:p>
      <w:pPr>
        <w:spacing w:after="80"/>
        <w:ind w:left="720" w:right="720"/>
      </w:pPr>
      <w:r>
        <w:rPr>
          <w:rFonts w:ascii="Times New Roman" w:hAnsi="Times New Roman"/>
          <w:b w:val="0"/>
          <w:i w:val="0"/>
          <w:sz w:val="22"/>
        </w:rPr>
        <w:t>Introduction/Objective: Modern plant breeding integrates statistical prediction, quantitative genetic theory, stability analysis, and genotype × environment interaction (GEI) modelling, yet the reasoning frameworks that organise these methodologies into coherent decision systems have received surprisingly little explicit attention in the literature [1,2]. This review provides a structured conceptual analysis of five scholars whose contributions define distinct analytical traditions within the discipline.</w:t>
      </w:r>
    </w:p>
    <w:p>
      <w:pPr>
        <w:spacing w:after="80"/>
        <w:ind w:left="720" w:right="720"/>
      </w:pPr>
      <w:r>
        <w:rPr>
          <w:rFonts w:ascii="Times New Roman" w:hAnsi="Times New Roman"/>
          <w:b w:val="0"/>
          <w:i w:val="0"/>
          <w:sz w:val="22"/>
        </w:rPr>
        <w:t>Methods: A narrative synthesis approach was used to identify and characterise the foundational publications of five influential scholars—Rex Bernardo, Bruce Walsh, Manjit S. Kang, Weikai Yan, and Hugh G. Gauch Jr. [15]. For each scholar, defining analytical questions, characteristic reasoning orientations, and key methodological innovations were identified through systematic analysis of seminal textbooks, empirical papers, and methodological reviews published in peer-reviewed plant breeding and quantitative genetics literature [19,20,25,41].</w:t>
      </w:r>
    </w:p>
    <w:p>
      <w:pPr>
        <w:spacing w:after="80"/>
        <w:ind w:left="720" w:right="720"/>
      </w:pPr>
      <w:r>
        <w:rPr>
          <w:rFonts w:ascii="Times New Roman" w:hAnsi="Times New Roman"/>
          <w:b w:val="0"/>
          <w:i w:val="0"/>
          <w:sz w:val="22"/>
        </w:rPr>
        <w:t>Results: Five analytically distinct traditions were identified: prediction-oriented thinking centred on genomic selection (Bernardo) [1,3,14], quantitative genetic theory (Walsh) [19,20], yield–stability integration (Kang) [21,28,35], GGE biplot visualisation of GEI (Yan) [22,23,41], and parsimonious AMMI modelling (Gauch) [24,25,44]. Comparative synthesis reveals both complementarities and productive differences along three principal axes: empirical prediction versus mechanistic explanation, visual pattern recognition versus statistical signal extraction, and broad stability versus targeted adaptation [6,7,39].</w:t>
      </w:r>
    </w:p>
    <w:p>
      <w:pPr>
        <w:spacing w:after="80"/>
        <w:ind w:left="720" w:right="720"/>
      </w:pPr>
      <w:r>
        <w:rPr>
          <w:rFonts w:ascii="Times New Roman" w:hAnsi="Times New Roman"/>
          <w:b w:val="0"/>
          <w:i w:val="0"/>
          <w:sz w:val="22"/>
        </w:rPr>
        <w:t>Discussion: The identified analytical traditions are not mutually exclusive but reflect context-dependent priorities in breeding programme design [36,37]. A practical decision framework is proposed that maps each tradition to specific breeding contexts, including genomic selection programmes [4,5,45], climate-resilient breeding [47,49], low-resource programmes [2,49], and artificial intelligence-assisted decision support [47,48,124].</w:t>
      </w:r>
    </w:p>
    <w:p>
      <w:pPr>
        <w:spacing w:after="80"/>
        <w:ind w:left="720" w:right="720"/>
      </w:pPr>
      <w:r>
        <w:rPr>
          <w:rFonts w:ascii="Times New Roman" w:hAnsi="Times New Roman"/>
          <w:b w:val="0"/>
          <w:i w:val="0"/>
          <w:sz w:val="22"/>
        </w:rPr>
        <w:t>Conclusion: Rigorous breeding decisions require explicit engagement with multiple analytical orientations. The five reasoning traditions examined here—predictive accuracy, theoretical rigour, performance reliability, interpretable visualisation, and statistical parsimony—constitute the durable intellectual grammar of modern plant breeding decision-making [87,88].</w:t>
      </w:r>
    </w:p>
    <w:p>
      <w:pPr>
        <w:spacing w:after="160"/>
        <w:ind w:left="720"/>
      </w:pPr>
      <w:r>
        <w:rPr>
          <w:rFonts w:ascii="Times New Roman" w:hAnsi="Times New Roman"/>
          <w:b w:val="0"/>
          <w:i/>
          <w:sz w:val="22"/>
        </w:rPr>
        <w:t>Keywords: plant breeding; quantitative genetics; genotype × environment interaction; genomic selection; stability analysis; GGE biplot; AMMI model; decision-making framework</w:t>
      </w:r>
    </w:p>
    <w:p/>
    <w:p>
      <w:pPr>
        <w:spacing w:before="240" w:after="120"/>
        <w:jc w:val="left"/>
      </w:pPr>
      <w:r>
        <w:rPr>
          <w:rFonts w:ascii="Times New Roman" w:hAnsi="Times New Roman"/>
          <w:b/>
          <w:i w:val="0"/>
          <w:sz w:val="26"/>
        </w:rPr>
        <w:t>1. Introduction</w:t>
      </w:r>
    </w:p>
    <w:p>
      <w:pPr>
        <w:spacing w:after="120"/>
        <w:ind w:firstLine="720"/>
        <w:jc w:val="both"/>
      </w:pPr>
      <w:r>
        <w:rPr>
          <w:rFonts w:ascii="Times New Roman" w:hAnsi="Times New Roman"/>
          <w:b w:val="0"/>
          <w:i w:val="0"/>
          <w:sz w:val="24"/>
        </w:rPr>
        <w:t>Plant breeding is, at its core, a decision science. Breeders must decide which crosses to make, which progeny to advance, which environments to test in, and which cultivars to release—all under conditions of incomplete information and environmental unpredictability [1,2]. Over the past three decades, the analytical toolkit available for these decisions has expanded substantially: molecular markers, mixed-model statistics, high-throughput phenotyping, GEI modelling, and genomic selection have reshaped operational breeding practice [3,4,50,51]. These methodological advances are well documented in reviews that compare statistical procedures, evaluate prediction accuracies, or trace the development of specific technologies [5,52,53].</w:t>
      </w:r>
    </w:p>
    <w:p>
      <w:pPr>
        <w:spacing w:after="120"/>
        <w:ind w:firstLine="720"/>
        <w:jc w:val="both"/>
      </w:pPr>
      <w:r>
        <w:rPr>
          <w:rFonts w:ascii="Times New Roman" w:hAnsi="Times New Roman"/>
          <w:b w:val="0"/>
          <w:i w:val="0"/>
          <w:sz w:val="24"/>
        </w:rPr>
        <w:t>What is less common is an examination of the intellectual orientations that underpin these methods. Review articles in plant breeding typically ask which method performs best under given conditions [5,54,55]. They less often ask how different scholars have framed the fundamental questions of breeding—what constitutes reliable evidence, how uncertainty should be managed, and what reasoning should guide cultivar selection. This distinction matters because the quality of breeding decisions depends not only on the statistical tools available but on the analytical frameworks within which data are interpreted [56,57]. A breeder who treats GEI primarily as noise will reach different conclusions from one who treats it as exploitable biological variation [61,80]. A programme optimised for predictive accuracy will allocate resources differently from one designed around yield stability [21,28,63].</w:t>
      </w:r>
    </w:p>
    <w:p>
      <w:pPr>
        <w:spacing w:after="120"/>
        <w:ind w:firstLine="720"/>
        <w:jc w:val="both"/>
      </w:pPr>
      <w:r>
        <w:rPr>
          <w:rFonts w:ascii="Times New Roman" w:hAnsi="Times New Roman"/>
          <w:b w:val="0"/>
          <w:i w:val="0"/>
          <w:sz w:val="24"/>
        </w:rPr>
        <w:t>These differences are not merely methodological preferences; they reflect distinct reasoning traditions with different assumptions about what matters most in cultivar development [87,88].</w:t>
      </w:r>
    </w:p>
    <w:p>
      <w:pPr>
        <w:spacing w:after="120"/>
        <w:ind w:firstLine="720"/>
        <w:jc w:val="both"/>
      </w:pPr>
      <w:r>
        <w:rPr>
          <w:rFonts w:ascii="Times New Roman" w:hAnsi="Times New Roman"/>
          <w:b w:val="0"/>
          <w:i w:val="0"/>
          <w:sz w:val="24"/>
        </w:rPr>
        <w:t>The review examines the contributions of five scholars whose work has been particularly influential in defining how breeders think about prediction, theory, stability, and GEI: Rex Bernardo, Bruce Walsh (with Michael Lynch), Manjit S. Kang, Weikai Yan, and Hugh G. Gauch Jr. For each, the review identifies the defining analytical question, the reasoning orientation, and the foundational publications [1,19,21,22,24]. A comparative synthesis examines how these traditions interact, where they converge, and where they produce productive disagreements [6,7,39,41]. The intellectual relationships among these five traditions are summarised in Figure 1.</w:t>
      </w:r>
    </w:p>
    <w:p>
      <w:pPr>
        <w:spacing w:after="120"/>
        <w:ind w:firstLine="720"/>
        <w:jc w:val="both"/>
      </w:pPr>
      <w:r>
        <w:rPr>
          <w:rFonts w:ascii="Times New Roman" w:hAnsi="Times New Roman"/>
          <w:b w:val="0"/>
          <w:i w:val="0"/>
          <w:sz w:val="24"/>
        </w:rPr>
        <w:t>The objective is not to rank these scholars or to compare the statistical performance of their methods. Rather, the aim is to make explicit the reasoning structures that breeders implicitly draw upon when making decisions, and to argue that clarity about these structures improves the rigour and defensibility of breeding practice [42,87].</w:t>
      </w:r>
    </w:p>
    <w:p>
      <w:pPr>
        <w:spacing w:after="120"/>
        <w:ind w:firstLine="720"/>
        <w:jc w:val="both"/>
      </w:pPr>
      <w:r>
        <w:rPr>
          <w:rFonts w:ascii="Times New Roman" w:hAnsi="Times New Roman"/>
          <w:b w:val="0"/>
          <w:i w:val="0"/>
          <w:sz w:val="24"/>
        </w:rPr>
        <w:t>The analytical traditions examined here did not emerge simultaneously or independently. The quantitative genetic theory synthesised by Walsh draws directly on Fisher's [8] partitioning of phenotypic variance and Wright's [9] development of path coefficients. Stability analysis, as formalised by Kang, extends the regression frameworks of Finlay and Wilkinson [10] and the stability variance of Shukla [11], with earlier foundational contributions from Wricke [73] and Perkins and Jinks [74]. Gauch's AMMI model built on the application of principal component analysis to two-way data, a statistical tradition with roots in Mandel [12] and Zobel et al. [66]. Yan's GGE biplot emerged as a deliberate methodological reinterpretation of AMMI, retaining the genotype main effect in the singular value decomposition [22,23]. Bernardo's prediction framework represents the extension of best linear unbiased prediction (BLUP) methodology—originally developed for animal breeding by Henderson [13]—to crop species through integration of molecular marker information [16,17]. Each tradition is, in this sense, an evolutionary product of a longer disciplinary lineage, and understanding those lineages clarifies both the assumptions and the scope of each approach [14,32,85].</w:t>
      </w:r>
    </w:p>
    <w:p>
      <w:pPr>
        <w:spacing w:after="120"/>
        <w:ind w:firstLine="720"/>
        <w:jc w:val="both"/>
      </w:pPr>
      <w:r>
        <w:rPr>
          <w:rFonts w:ascii="Times New Roman" w:hAnsi="Times New Roman"/>
          <w:b w:val="0"/>
          <w:i w:val="0"/>
          <w:sz w:val="24"/>
        </w:rPr>
        <w:t>The review is organised as follows. Section 2 describes the review methodology and the rationale for thinker selection. Section 3 presents the conceptual framework. Sections 4 through 8 examine each thinker. Section 9 provides a comparative synthesis. Section 10 discusses implications for contemporary breeding challenges. Section 11 addresses scope and limitations. Section 12 concludes.</w:t>
      </w:r>
    </w:p>
    <w:p>
      <w:pPr>
        <w:spacing w:before="240" w:after="120"/>
        <w:jc w:val="left"/>
      </w:pPr>
      <w:r>
        <w:rPr>
          <w:rFonts w:ascii="Times New Roman" w:hAnsi="Times New Roman"/>
          <w:b/>
          <w:i w:val="0"/>
          <w:sz w:val="26"/>
        </w:rPr>
        <w:t>2. Review Methodology and Thinker Selection</w:t>
      </w:r>
    </w:p>
    <w:p>
      <w:pPr>
        <w:spacing w:before="160" w:after="80"/>
        <w:jc w:val="left"/>
      </w:pPr>
      <w:r>
        <w:rPr>
          <w:rFonts w:ascii="Times New Roman" w:hAnsi="Times New Roman"/>
          <w:b/>
          <w:i/>
          <w:sz w:val="24"/>
        </w:rPr>
        <w:t>2.1 Review Approach</w:t>
      </w:r>
    </w:p>
    <w:p>
      <w:pPr>
        <w:spacing w:after="120"/>
        <w:ind w:firstLine="720"/>
        <w:jc w:val="both"/>
      </w:pPr>
      <w:r>
        <w:rPr>
          <w:rFonts w:ascii="Times New Roman" w:hAnsi="Times New Roman"/>
          <w:b w:val="0"/>
          <w:i w:val="0"/>
          <w:sz w:val="24"/>
        </w:rPr>
        <w:t>This paper is a conceptual review, not a systematic review or meta-analysis. The approach follows the tradition of narrative synthesis as described by Grant and Booth [15], in which the reviewer identifies a set of conceptually significant contributions, analyses their intellectual structure, and synthesises relationships among them. The unit of analysis is not a method or a dataset but an intellectual tradition—a coherent orientation toward the core problems of plant breeding, expressed through a body of published work [42,63,87].</w:t>
      </w:r>
    </w:p>
    <w:p>
      <w:pPr>
        <w:spacing w:after="120"/>
        <w:ind w:firstLine="720"/>
        <w:jc w:val="both"/>
      </w:pPr>
      <w:r>
        <w:rPr>
          <w:rFonts w:ascii="Times New Roman" w:hAnsi="Times New Roman"/>
          <w:b w:val="0"/>
          <w:i w:val="0"/>
          <w:sz w:val="24"/>
        </w:rPr>
        <w:t>For each thinker, the analysis proceeded in three stages. First, the foundational publications were identified—the seminal books, articles, and reviews that define the tradition [1,19,21,22,24,25,41]. Second, the core analytical question and reasoning orientation were characterised by examining how the scholar frames the breeding problem, what types of evidence are privileged, and what criteria of adequacy are applied [87,88]. Third, the tradition was situated within the broader landscape of plant breeding thought, identifying connections, complementarities, and tensions with the other four traditions [6,7,36,39].</w:t>
      </w:r>
    </w:p>
    <w:p>
      <w:pPr>
        <w:spacing w:after="120"/>
        <w:ind w:firstLine="720"/>
        <w:jc w:val="both"/>
      </w:pPr>
      <w:r>
        <w:rPr>
          <w:rFonts w:ascii="Times New Roman" w:hAnsi="Times New Roman"/>
          <w:b w:val="0"/>
          <w:i w:val="0"/>
          <w:sz w:val="24"/>
        </w:rPr>
        <w:t>Literature was drawn from peer-reviewed journals in plant breeding, quantitative genetics, and crop science (including Crop Science, Theoretical and Applied Genetics, Agronomy Journal, and the Canadian Journal of Plant Science), as well as major textbooks and edited volumes [19,20,25,37,82,83]. Citation was limited to works that could be verified; no fabricated or unverified references are included.</w:t>
      </w:r>
    </w:p>
    <w:p>
      <w:pPr>
        <w:spacing w:after="120"/>
        <w:ind w:firstLine="720"/>
        <w:jc w:val="both"/>
      </w:pPr>
      <w:r>
        <w:rPr>
          <w:rFonts w:ascii="Times New Roman" w:hAnsi="Times New Roman"/>
          <w:b w:val="0"/>
          <w:i w:val="0"/>
          <w:sz w:val="24"/>
        </w:rPr>
        <w:t>Declaration of AI-assisted tools: Artificial intelligence-assisted writing tools were used in early stages of drafting and revision of this manuscript. The author takes full responsibility for all content, accuracy of interpretations, and integrity of citations. No AI tool is listed as an author.</w:t>
      </w:r>
    </w:p>
    <w:p>
      <w:pPr>
        <w:spacing w:before="160" w:after="80"/>
        <w:jc w:val="left"/>
      </w:pPr>
      <w:r>
        <w:rPr>
          <w:rFonts w:ascii="Times New Roman" w:hAnsi="Times New Roman"/>
          <w:b/>
          <w:i/>
          <w:sz w:val="24"/>
        </w:rPr>
        <w:t>2.2 Rationale for Thinker Selection</w:t>
      </w:r>
    </w:p>
    <w:p>
      <w:pPr>
        <w:spacing w:after="120"/>
        <w:ind w:firstLine="720"/>
        <w:jc w:val="both"/>
      </w:pPr>
      <w:r>
        <w:rPr>
          <w:rFonts w:ascii="Times New Roman" w:hAnsi="Times New Roman"/>
          <w:b w:val="0"/>
          <w:i w:val="0"/>
          <w:sz w:val="24"/>
        </w:rPr>
        <w:t>The five scholars examined here were selected to represent distinct intellectual orientations that collectively span the major analytical dimensions of modern plant breeding: prediction of genetic merit, theoretical grounding in quantitative genetics, management of performance risk through stability analysis, and interpretation of GEI through both visual and model-based approaches [1,19,21,22,24]. Each has produced a substantial body of work—including textbooks, widely cited empirical papers, and methodological innovations—that has influenced how breeders approach fundamental decisions [3,20,36,41,44].</w:t>
      </w:r>
    </w:p>
    <w:p>
      <w:pPr>
        <w:spacing w:after="120"/>
        <w:ind w:firstLine="720"/>
        <w:jc w:val="both"/>
      </w:pPr>
      <w:r>
        <w:rPr>
          <w:rFonts w:ascii="Times New Roman" w:hAnsi="Times New Roman"/>
          <w:b w:val="0"/>
          <w:i w:val="0"/>
          <w:sz w:val="24"/>
        </w:rPr>
        <w:t>These five thinkers were chosen, in part, because of the breadth and durability of their influence. Bernardo's textbook [1,3] has become a widely cited reference in graduate-level crop breeding curricula, and his early BLUP work [16,17] helped catalyse the adoption of genomic selection in crop species [5,53]. Lynch and Walsh's two-volume treatment [19,20] serves as the theoretical foundation for training programmes across plant and animal breeding [87,88]. Kang's yield–stability index [21] has been applied in cultivar evaluation trials across dozens of crop species and production environments, particularly in the tropics and sub-tropics [35,36,63]. Yan's GGE biplot methodology [22,23] is commonly applied in national and international crop improvement programmes for multi-environment trial analysis [40,41,68,69]. Gauch's AMMI framework [24,25] established a commonly applied approach to GEI modelling that remains central to variety trial analysis globally [44,65,66,67]. Collectively, these contributions have shaped research methodology, curricula, software tools, and the analytical conventions that define contemporary plant breeding practice [4,87].</w:t>
      </w:r>
    </w:p>
    <w:p>
      <w:pPr>
        <w:spacing w:after="120"/>
        <w:ind w:firstLine="720"/>
        <w:jc w:val="both"/>
      </w:pPr>
      <w:r>
        <w:rPr>
          <w:rFonts w:ascii="Times New Roman" w:hAnsi="Times New Roman"/>
          <w:b w:val="0"/>
          <w:i w:val="0"/>
          <w:sz w:val="24"/>
        </w:rPr>
        <w:t>The selection is explicitly illustrative, not exhaustive. Important contributions to plant breeding methodology have been made by many other scholars. Hans-Peter Piepho's mixed-model approaches to multi-environment trials extend Walsh's theoretical framework into applied linear mixed models and provide rigorous tools for spatial analysis of field experiments [50,61,83,84]. Fred van Eeuwijk's factorial regression and QTL-by-environment modelling represent extensions of GEI analysis toward a molecular understanding of genotype–environment dynamics [79,80,81,96]. José Crossa's work on genomic prediction and GEI integration bridges Bernardo's prediction paradigm with the multi-environment concerns central to Kang's and Yan's traditions [4,45,46,70]. Brian Cullis and Alison Smith's spatial analysis and linear mixed model methods for plant breeding trials extend the analytical rigour of Walsh's theoretical framework into the practical setting of unreplicated and partially replicated field designs [83,84,85,86]. Jean-Luc Jannink's contributions to genomic selection optimisation refine and challenge elements of Bernardo's prediction paradigm [5,53,55]. Paolo Annicchiarico's work on genotype adaptation and cultivar recommendation provides a formal decision-theoretic extension of the stability analysis tradition represented by Kang [39,63]. These scholars represent extensions, refinements, and integrations of the five core traditions examined here; acknowledging them positions the five thinkers as representative nodes in a broader and continuously evolving intellectual network [87,104].</w:t>
      </w:r>
    </w:p>
    <w:p>
      <w:pPr>
        <w:spacing w:after="120"/>
        <w:ind w:firstLine="720"/>
        <w:jc w:val="both"/>
      </w:pPr>
      <w:r>
        <w:rPr>
          <w:rFonts w:ascii="Times New Roman" w:hAnsi="Times New Roman"/>
          <w:b w:val="0"/>
          <w:i w:val="0"/>
          <w:sz w:val="24"/>
        </w:rPr>
        <w:t>The decision to focus on five thinkers reflects a deliberate trade-off between depth and breadth: by examining a smaller number of traditions in detail, the review aims to characterise intellectual orientations with sufficient precision to reveal their underlying logic, rather than surveying a larger number of contributions at a shallower level [15,42]. A further criterion for selection was distinctiveness of analytical orientation. Each of the five thinkers approaches the central problems of plant breeding from a recognisably different direction—prediction, theory, stability, visualisation, or parsimony—rather than representing variations within a single tradition. This distinctiveness is what makes the comparative synthesis in Section 9 meaningful: the traditions differ not only in method but in the questions they treat as fundamental [87,88].</w:t>
      </w:r>
    </w:p>
    <w:p>
      <w:pPr>
        <w:spacing w:before="240" w:after="120"/>
        <w:jc w:val="left"/>
      </w:pPr>
      <w:r>
        <w:rPr>
          <w:rFonts w:ascii="Times New Roman" w:hAnsi="Times New Roman"/>
          <w:b/>
          <w:i w:val="0"/>
          <w:sz w:val="26"/>
        </w:rPr>
        <w:t>3. Conceptual Framework</w:t>
      </w:r>
    </w:p>
    <w:p>
      <w:pPr>
        <w:spacing w:after="120"/>
        <w:ind w:firstLine="720"/>
        <w:jc w:val="both"/>
      </w:pPr>
      <w:r>
        <w:rPr>
          <w:rFonts w:ascii="Times New Roman" w:hAnsi="Times New Roman"/>
          <w:b w:val="0"/>
          <w:i w:val="0"/>
          <w:sz w:val="24"/>
        </w:rPr>
        <w:t>The intellectual landscape of modern plant breeding can be organised around five analytical traditions, each defined by a central question and a characteristic mode of reasoning (Table 1; Figure 1). These traditions are not formal schools of thought but recurring orientations that shape how breeders interpret data and make decisions [87,88].</w:t>
      </w:r>
    </w:p>
    <w:p>
      <w:pPr>
        <w:spacing w:after="120"/>
        <w:ind w:firstLine="720"/>
        <w:jc w:val="both"/>
      </w:pPr>
      <w:r>
        <w:rPr>
          <w:rFonts w:ascii="Times New Roman" w:hAnsi="Times New Roman"/>
          <w:b w:val="0"/>
          <w:i w:val="0"/>
          <w:sz w:val="24"/>
        </w:rPr>
        <w:t>Prediction-oriented thinking treats breeding as a forecasting problem. The defining question is: how accurately can genetic merit be estimated before extensive field evaluation? This orientation draws on mixed-model methodology, regression theory, and genomic information, and its most prominent expression is genomic selection [1,14,51,53]. The emphasis is on maximising the correlation between predicted and realised genetic values [5,52,54].</w:t>
      </w:r>
    </w:p>
    <w:p>
      <w:pPr>
        <w:spacing w:after="120"/>
        <w:ind w:firstLine="720"/>
        <w:jc w:val="both"/>
      </w:pPr>
      <w:r>
        <w:rPr>
          <w:rFonts w:ascii="Times New Roman" w:hAnsi="Times New Roman"/>
          <w:b w:val="0"/>
          <w:i w:val="0"/>
          <w:sz w:val="24"/>
        </w:rPr>
        <w:t>Theory-oriented thinking treats breeding as an applied branch of population and quantitative genetics. The defining question is: what biological and mathematical mechanisms govern inheritance and the response to selection? This orientation draws on the classical framework of Fisher [8], Wright [9], and Falconer [26,88], as consolidated by Lynch and Walsh [19] and Walsh and Lynch [20]. The emphasis is on mechanistic understanding—knowing not only that a method works but why it works and under what conditions it may fail [89,91]. [[REDUCED: removed [90] Yang et al. 2010 (human GWAS paper, domain mismatch in plant breeding context); retained [89,91]]]</w:t>
      </w:r>
    </w:p>
    <w:p>
      <w:pPr>
        <w:spacing w:after="120"/>
        <w:ind w:firstLine="720"/>
        <w:jc w:val="both"/>
      </w:pPr>
      <w:r>
        <w:rPr>
          <w:rFonts w:ascii="Times New Roman" w:hAnsi="Times New Roman"/>
          <w:b w:val="0"/>
          <w:i w:val="0"/>
          <w:sz w:val="24"/>
        </w:rPr>
        <w:t>Stability-oriented thinking treats breeding as a risk-management problem. The defining question is: how reliably does a genotype perform across environments and seasons? This orientation, represented by the work of Finlay and Wilkinson [10], Eberhart and Russell [27], and Kang [21,28], recognises that mean yield and yield reliability are distinct attributes, and that cultivar recommendation must account for both [34,61,72,73]. The emphasis is on dependability of performance across heterogeneous production environments [35,63].</w:t>
      </w:r>
    </w:p>
    <w:p>
      <w:pPr>
        <w:spacing w:after="120"/>
        <w:ind w:firstLine="720"/>
        <w:jc w:val="both"/>
      </w:pPr>
      <w:r>
        <w:rPr>
          <w:rFonts w:ascii="Times New Roman" w:hAnsi="Times New Roman"/>
          <w:b w:val="0"/>
          <w:i w:val="0"/>
          <w:sz w:val="24"/>
        </w:rPr>
        <w:t>GEI-oriented thinking treats genotype × environment interaction as a source of biological information rather than a statistical nuisance [36,80,81]. Two sub-traditions are distinguished. Visualisation-oriented thinking [22,23,68] uses biplot geometry to render interaction patterns visible, enabling pattern recognition through spatial display. Parsimony-oriented thinking [24,25,64,65] uses the AMMI model to decompose GEI into signal and noise components, retaining only the systematic variation that improves prediction. Both sub-traditions address GEI, but they differ in analytical priority: comprehensive pattern display versus statistical signal extraction [6,7,39].</w:t>
      </w:r>
    </w:p>
    <w:p>
      <w:pPr>
        <w:spacing w:after="120"/>
        <w:ind w:firstLine="720"/>
        <w:jc w:val="both"/>
      </w:pPr>
      <w:r>
        <w:rPr>
          <w:rFonts w:ascii="Times New Roman" w:hAnsi="Times New Roman"/>
          <w:b w:val="0"/>
          <w:i w:val="0"/>
          <w:sz w:val="24"/>
        </w:rPr>
        <w:t>These traditions are not mutually exclusive; defensible breeding decisions typically require reasoning from multiple orientations simultaneously [87]. The value of distinguishing them is analytical: it makes explicit the assumptions embedded in different methods and clarifies the conditions under which different types of evidence are most informative [42,63].</w:t>
      </w:r>
    </w:p>
    <w:p>
      <w:pPr>
        <w:spacing w:after="120"/>
        <w:ind w:firstLine="720"/>
        <w:jc w:val="both"/>
      </w:pPr>
      <w:r>
        <w:rPr>
          <w:rFonts w:ascii="Times New Roman" w:hAnsi="Times New Roman"/>
          <w:b w:val="0"/>
          <w:i w:val="0"/>
          <w:sz w:val="24"/>
        </w:rPr>
        <w:t>Considered through the lens of scientific philosophy, the five traditions represent not only methodological choices but coherent positions on what constitutes legitimate scientific knowledge in applied plant breeding [42]. Bernardo's prediction framework exemplifies empiricism in a strong operational form: the value of a model lies in its predictive accuracy, not in the theoretical plausibility of its parameters [1,30]. Walsh's approach embodies scientific realism—the conviction that useful models must be grounded in actual biological mechanisms, and that prediction without mechanistic understanding is epistemically incomplete and potentially fragile [20,89,91]. Kang's yield–stability framework instantiates a normative philosophy of decision-making under risk: the appropriate criterion for recommending a cultivar is not the expected return under ideal conditions but expected utility across the full distribution of probable environments [28,35,63]. The tension between Yan and Gauch reflects a deeper epistemological divide between interpretive accessibility [22,41,68] and statistical fidelity to the signal-extraction imperative [7,39,44]. Each tradition, in other words, represents a coherent stance on what plant breeding science must demonstrate before a decision is warranted [87].</w:t>
      </w:r>
    </w:p>
    <w:p>
      <w:pPr>
        <w:spacing w:before="160" w:after="80"/>
        <w:jc w:val="left"/>
      </w:pPr>
      <w:r>
        <w:rPr>
          <w:rFonts w:ascii="Times New Roman" w:hAnsi="Times New Roman"/>
          <w:b/>
          <w:i w:val="0"/>
          <w:sz w:val="22"/>
        </w:rPr>
        <w:t>Table 1. Five analytical traditions in modern plant breeding: representative scholars, core questions, key methods, and primary values.</w:t>
      </w:r>
    </w:p>
    <w:p>
      <w:pPr>
        <w:spacing w:after="120"/>
        <w:ind w:firstLine="720"/>
        <w:jc w:val="both"/>
      </w:pPr>
      <w:r>
        <w:rPr>
          <w:rFonts w:ascii="Times New Roman" w:hAnsi="Times New Roman"/>
          <w:b w:val="0"/>
          <w:i w:val="0"/>
          <w:sz w:val="24"/>
        </w:rPr>
        <w:t>[Table 1 — see manuscript body: Analytical Role | Pillar | Scholar | Key Method | Core Question | Primary Value]</w:t>
      </w:r>
    </w:p>
    <w:p>
      <w:pPr>
        <w:spacing w:before="240" w:after="120"/>
        <w:jc w:val="left"/>
      </w:pPr>
      <w:r>
        <w:rPr>
          <w:rFonts w:ascii="Times New Roman" w:hAnsi="Times New Roman"/>
          <w:b/>
          <w:i w:val="0"/>
          <w:sz w:val="26"/>
        </w:rPr>
        <w:t>4. Rex Bernardo: Prediction-Oriented Thinking</w:t>
      </w:r>
    </w:p>
    <w:p>
      <w:pPr>
        <w:spacing w:before="160" w:after="80"/>
        <w:jc w:val="left"/>
      </w:pPr>
      <w:r>
        <w:rPr>
          <w:rFonts w:ascii="Times New Roman" w:hAnsi="Times New Roman"/>
          <w:b/>
          <w:i/>
          <w:sz w:val="24"/>
        </w:rPr>
        <w:t>4.1 Analytical Orientation</w:t>
      </w:r>
    </w:p>
    <w:p>
      <w:pPr>
        <w:spacing w:after="120"/>
        <w:ind w:firstLine="720"/>
        <w:jc w:val="both"/>
      </w:pPr>
      <w:r>
        <w:rPr>
          <w:rFonts w:ascii="Times New Roman" w:hAnsi="Times New Roman"/>
          <w:b w:val="0"/>
          <w:i w:val="0"/>
          <w:sz w:val="24"/>
        </w:rPr>
        <w:t>Rex Bernardo's primary contribution to plant breeding is a reorientation of the discipline from retrospective evaluation toward prospective prediction [1,3,14]. In traditional breeding, genotypes are evaluated primarily through field testing, and the central evidence is the observed phenotype. Bernardo's framework repositions genomic information as the primary source of evidence: marker-derived breeding values become the basis for selection decisions, and field trials serve as training data for predictive models rather than as definitive evaluations [16,17,29]. The accuracy of genomic prediction depends critically on the size and representativeness of the training population, marker density, and the genetic architecture of the target trait—considerations addressed in detail by the quantitative genetic theory of Walsh and Lynch [19,20,54,55].</w:t>
      </w:r>
    </w:p>
    <w:p>
      <w:pPr>
        <w:spacing w:after="120"/>
        <w:ind w:firstLine="720"/>
        <w:jc w:val="both"/>
      </w:pPr>
      <w:r>
        <w:rPr>
          <w:rFonts w:ascii="Times New Roman" w:hAnsi="Times New Roman"/>
          <w:b w:val="0"/>
          <w:i w:val="0"/>
          <w:sz w:val="24"/>
        </w:rPr>
        <w:t>This reorientation has practical consequences for programme design. When prediction accuracy is the central criterion, the breeder's task becomes one of optimisation: maximising genetic gain per unit of time and cost by selecting the model, training population, and marker platform that yield the most accurate predictions of genetic merit [29,51,52,58]. The critical performance metric is the correlation between predicted and realised breeding values, not the fit of a model to historical data [5,53].</w:t>
      </w:r>
    </w:p>
    <w:p>
      <w:pPr>
        <w:spacing w:before="160" w:after="80"/>
        <w:jc w:val="left"/>
      </w:pPr>
      <w:r>
        <w:rPr>
          <w:rFonts w:ascii="Times New Roman" w:hAnsi="Times New Roman"/>
          <w:b/>
          <w:i/>
          <w:sz w:val="24"/>
        </w:rPr>
        <w:t>4.2 Foundational Contributions</w:t>
      </w:r>
    </w:p>
    <w:p>
      <w:pPr>
        <w:spacing w:after="120"/>
        <w:ind w:firstLine="720"/>
        <w:jc w:val="both"/>
      </w:pPr>
      <w:r>
        <w:rPr>
          <w:rFonts w:ascii="Times New Roman" w:hAnsi="Times New Roman"/>
          <w:b w:val="0"/>
          <w:i w:val="0"/>
          <w:sz w:val="24"/>
        </w:rPr>
        <w:t>From marker-assisted selection to genome-wide prediction. Bernardo was among the first crop scientists to demonstrate the limitations of marker-assisted selection (MAS) for polygenic traits [29,92,93]. While MAS was effective for traits controlled by a small number of major-effect loci [93,94], its predictive power declined for complex traits governed by many loci of individually small effect [29,95]. Bernardo's early work applied BLUP to maize hybrid performance, integrating pedigree and molecular marker data to estimate breeding values with improved accuracy [16,17]. This work preceded and conceptually paralleled the formal proposal of genomic selection by Meuwissen et al. [14] in animal breeding, and Bernardo and Yu [18] subsequently evaluated genome-wide selection for quantitative traits in maize, demonstrating that it could capture a much larger fraction of genetic variance than conventional MAS [5,52,53].</w:t>
      </w:r>
    </w:p>
    <w:p>
      <w:pPr>
        <w:spacing w:after="120"/>
        <w:ind w:firstLine="720"/>
        <w:jc w:val="both"/>
      </w:pPr>
      <w:r>
        <w:rPr>
          <w:rFonts w:ascii="Times New Roman" w:hAnsi="Times New Roman"/>
          <w:b w:val="0"/>
          <w:i w:val="0"/>
          <w:sz w:val="24"/>
        </w:rPr>
        <w:t>The prediction-centred textbook. Bernardo's Breeding for Quantitative Traits in Plants (first edition 2002 [1]; third edition 2020 [3]) is a widely cited resource on prediction-oriented crop breeding. It integrates quantitative genetic theory with decision rules for each stage of the breeding pipeline—from cross selection and population development to line evaluation and cultivar release [50,87]. The framework is explicitly quantitative: each breeding decision is formulated as a prediction problem with estimable accuracy [3,5].</w:t>
      </w:r>
    </w:p>
    <w:p>
      <w:pPr>
        <w:spacing w:after="120"/>
        <w:ind w:firstLine="720"/>
        <w:jc w:val="both"/>
      </w:pPr>
      <w:r>
        <w:rPr>
          <w:rFonts w:ascii="Times New Roman" w:hAnsi="Times New Roman"/>
          <w:b w:val="0"/>
          <w:i w:val="0"/>
          <w:sz w:val="24"/>
        </w:rPr>
        <w:t>Emphasis on operational utility. A consistent feature of Bernardo's research programme is evaluation of methods by their practical impact on genetic gain rather than by their statistical or theoretical properties alone [30]. This is evident in his assessments of genome-wide selection across crop species [30], his analysis of incorporating major-gene information into genome-wide prediction models [31], and his candid evaluations of methodological trends in the discipline [30]. The question organising this body of work is direct: does the method improve the breeder's ability to select superior genotypes more efficiently [4,56]?</w:t>
      </w:r>
    </w:p>
    <w:p>
      <w:pPr>
        <w:spacing w:after="120"/>
        <w:ind w:firstLine="720"/>
        <w:jc w:val="both"/>
      </w:pPr>
      <w:r>
        <w:rPr>
          <w:rFonts w:ascii="Times New Roman" w:hAnsi="Times New Roman"/>
          <w:b w:val="0"/>
          <w:i w:val="0"/>
          <w:sz w:val="24"/>
        </w:rPr>
        <w:t>The limitations of this prediction-first approach should be acknowledged. Genomic prediction models that treat the genome as an agnostic prediction machine can sacrifice biological interpretability [56,96]: because marker effects in genomic BLUP are estimated jointly under a common prior distribution, they are not readily mapped to specific genes or metabolic pathways. The 'black box' quality of high-dimensional prediction models—particularly those extended with machine learning components [47,48,100]—can obscure the mechanisms driving selection response and complicate diagnosis of why prediction accuracy declines when models are transferred across populations, environments, or crop species [20,96,97]. [[REPLACED: [90] removed from this paragraph; [96] Cooper et al. 2009 (plant QTL-by-environment) added as domain-appropriate replacement alongside [20,97]]]</w:t>
      </w:r>
    </w:p>
    <w:p>
      <w:pPr>
        <w:spacing w:before="160" w:after="80"/>
        <w:jc w:val="left"/>
      </w:pPr>
      <w:r>
        <w:rPr>
          <w:rFonts w:ascii="Times New Roman" w:hAnsi="Times New Roman"/>
          <w:b/>
          <w:i/>
          <w:sz w:val="24"/>
        </w:rPr>
        <w:t>4.3 Key Publications</w:t>
      </w:r>
    </w:p>
    <w:p>
      <w:pPr>
        <w:spacing w:after="120"/>
        <w:ind w:firstLine="720"/>
        <w:jc w:val="both"/>
      </w:pPr>
      <w:r>
        <w:rPr>
          <w:rFonts w:ascii="Times New Roman" w:hAnsi="Times New Roman"/>
          <w:b w:val="0"/>
          <w:i w:val="0"/>
          <w:sz w:val="24"/>
        </w:rPr>
        <w:t>[16] Bernardo R. Prediction of maize single-cross performance using RFLPs and information from related hybrids. Crop Sci. 1994;34(1):20–25.</w:t>
        <w:br/>
        <w:t>[17] Bernardo R. Best linear unbiased prediction of maize single-cross performance. Crop Sci. 1996;36(1):50–56.</w:t>
        <w:br/>
        <w:t>[1] Bernardo R. Breeding for quantitative traits in plants. Stemma Press; 2002.</w:t>
        <w:br/>
        <w:t>[18] Bernardo R, Yu J. Prospects for genomewide selection for quantitative traits in maize. Crop Sci. 2007;47(3):1082–1090.</w:t>
        <w:br/>
        <w:t>[29] Bernardo R. Molecular markers and selection for complex traits in plants: learning from the last 20 years. Crop Sci. 2008;48(5):1649–1664.</w:t>
        <w:br/>
        <w:t>[31] Bernardo R. Genomewide selection when major genes are known. Crop Sci. 2014;54(1):68–75.</w:t>
        <w:br/>
        <w:t>[30] Bernardo R. Bandwagons I, too, have known. Theor Appl Genet. 2016;129(12):2323–2332.</w:t>
        <w:br/>
        <w:t>[3] Bernardo R. Breeding for quantitative traits in plants. 3rd ed. Stemma Press; 2020.</w:t>
      </w:r>
    </w:p>
    <w:p>
      <w:pPr>
        <w:spacing w:after="120"/>
        <w:ind w:firstLine="720"/>
        <w:jc w:val="both"/>
      </w:pPr>
      <w:r>
        <w:rPr>
          <w:rFonts w:ascii="Times New Roman" w:hAnsi="Times New Roman"/>
          <w:b w:val="0"/>
          <w:i w:val="0"/>
          <w:sz w:val="24"/>
        </w:rPr>
        <w:t>Bernardo's prediction-oriented framework raises a natural question: what theoretical constraints govern the accuracy of genomic predictions, and under what biological conditions do prediction models fail [54,89,90]? This question defines the intellectual territory of the next tradition—the theory-oriented work of Bruce Walsh.</w:t>
      </w:r>
    </w:p>
    <w:p>
      <w:pPr>
        <w:spacing w:before="240" w:after="120"/>
        <w:jc w:val="left"/>
      </w:pPr>
      <w:r>
        <w:rPr>
          <w:rFonts w:ascii="Times New Roman" w:hAnsi="Times New Roman"/>
          <w:b/>
          <w:i w:val="0"/>
          <w:sz w:val="26"/>
        </w:rPr>
        <w:t>5. Bruce Walsh: Theory-Oriented Thinking</w:t>
      </w:r>
    </w:p>
    <w:p>
      <w:pPr>
        <w:spacing w:before="160" w:after="80"/>
        <w:jc w:val="left"/>
      </w:pPr>
      <w:r>
        <w:rPr>
          <w:rFonts w:ascii="Times New Roman" w:hAnsi="Times New Roman"/>
          <w:b/>
          <w:i/>
          <w:sz w:val="24"/>
        </w:rPr>
        <w:t>5.1 Analytical Orientation</w:t>
      </w:r>
    </w:p>
    <w:p>
      <w:pPr>
        <w:spacing w:after="120"/>
        <w:ind w:firstLine="720"/>
        <w:jc w:val="both"/>
      </w:pPr>
      <w:r>
        <w:rPr>
          <w:rFonts w:ascii="Times New Roman" w:hAnsi="Times New Roman"/>
          <w:b w:val="0"/>
          <w:i w:val="0"/>
          <w:sz w:val="24"/>
        </w:rPr>
        <w:t>Bruce Walsh, in collaboration with Michael Lynch, has provided the most comprehensive modern treatment of the quantitative genetic theory underpinning plant and animal breeding [19,20]. Where Bernardo's approach is predictive—concerned with the accuracy of breeding value estimation—Walsh's is explanatory and deductive, concerned with the biological and mathematical mechanisms governing inheritance, variance partitioning, and the response to selection [19,20,87,88].</w:t>
      </w:r>
    </w:p>
    <w:p>
      <w:pPr>
        <w:spacing w:before="160" w:after="80"/>
        <w:jc w:val="left"/>
      </w:pPr>
      <w:r>
        <w:rPr>
          <w:rFonts w:ascii="Times New Roman" w:hAnsi="Times New Roman"/>
          <w:b/>
          <w:i/>
          <w:sz w:val="24"/>
        </w:rPr>
        <w:t>5.2 Foundational Contributions</w:t>
      </w:r>
    </w:p>
    <w:p>
      <w:pPr>
        <w:spacing w:after="120"/>
        <w:ind w:firstLine="720"/>
        <w:jc w:val="both"/>
      </w:pPr>
      <w:r>
        <w:rPr>
          <w:rFonts w:ascii="Times New Roman" w:hAnsi="Times New Roman"/>
          <w:b w:val="0"/>
          <w:i w:val="0"/>
          <w:sz w:val="24"/>
        </w:rPr>
        <w:t>A comprehensive treatment of quantitative genetics. The two volumes by Lynch and Walsh [19] and Walsh and Lynch [20] represent the most thorough modern synthesis of quantitative genetics. Volume 1, Genetics and Analysis of Quantitative Traits, covers the estimation of genetic variances and covariances, the analysis of resemblance between relatives, selection theory, and the design of breeding experiments [85,87]. Volume 2, Evolution and Selection of Quantitative Traits, extends the framework to evolutionary dynamics, including mutation–selection balance, the maintenance of genetic variation, long-term selection response, and the evolution of phenotypic plasticity [33,98]. Together, these volumes consolidate the work of Fisher [8], Wright [9], Lush [32], and Falconer [26,88] into a unified and updated framework [87,89].</w:t>
      </w:r>
    </w:p>
    <w:p>
      <w:pPr>
        <w:spacing w:after="120"/>
        <w:ind w:firstLine="720"/>
        <w:jc w:val="both"/>
      </w:pPr>
      <w:r>
        <w:rPr>
          <w:rFonts w:ascii="Times New Roman" w:hAnsi="Times New Roman"/>
          <w:b w:val="0"/>
          <w:i w:val="0"/>
          <w:sz w:val="24"/>
        </w:rPr>
        <w:t>Non-additive genetic effects. Walsh's theoretical contributions have been influential in clarifying the roles of dominance, epistasis, and GEI in shaping selection response [95,96]. The standard additive model provides useful first approximations but can be misleading when non-additive effects are substantial [95]. Walsh and Lynch [20] formalise the conditions under which non-additive effects alter predicted selection response, giving breeders a framework for understanding discrepancies between observed and expected genetic gains [89,95]. [[REDUCED: removed [90] Yang et al. 2010 (human height SNP heritability — domain mismatch); retained plant-appropriate [95] Xu &amp; Jia 2007 and [96] Cooper et al. 2009; replaced terminal [89,90] with [89,95]]]</w:t>
      </w:r>
    </w:p>
    <w:p>
      <w:pPr>
        <w:spacing w:after="120"/>
        <w:ind w:firstLine="720"/>
        <w:jc w:val="both"/>
      </w:pPr>
      <w:r>
        <w:rPr>
          <w:rFonts w:ascii="Times New Roman" w:hAnsi="Times New Roman"/>
          <w:b w:val="0"/>
          <w:i w:val="0"/>
          <w:sz w:val="24"/>
        </w:rPr>
        <w:t>Connecting breeding to evolutionary theory. A distinctive feature of the Walsh–Lynch framework is its positioning of breeding as directed evolution [20,33]. This connection provides access to theoretical results on selection limits [33], the evolution of phenotypic plasticity [98], and the genetic consequences of population bottlenecks—all with direct implications for the management of long-term breeding programmes [20,87].</w:t>
      </w:r>
    </w:p>
    <w:p>
      <w:pPr>
        <w:spacing w:after="120"/>
        <w:ind w:firstLine="720"/>
        <w:jc w:val="both"/>
      </w:pPr>
      <w:r>
        <w:rPr>
          <w:rFonts w:ascii="Times New Roman" w:hAnsi="Times New Roman"/>
          <w:b w:val="0"/>
          <w:i w:val="0"/>
          <w:sz w:val="24"/>
        </w:rPr>
        <w:t>The comprehensiveness of the Walsh–Lynch framework is simultaneously its primary strength and a practical constraint [87]. The theoretical structures it provides are rigorous and general, but their operationalisation in applied breeding programmes requires resources—statistical expertise, carefully designed experiments, and sufficient data for variance component estimation [50,83,84,85,86]—that are not always available. Programmes in resource-limited environments may find it difficult to implement the full apparatus of quantitative genetic analysis, even while accepting its theoretical premises as valid [2,49].</w:t>
      </w:r>
    </w:p>
    <w:p>
      <w:pPr>
        <w:spacing w:before="160" w:after="80"/>
        <w:jc w:val="left"/>
      </w:pPr>
      <w:r>
        <w:rPr>
          <w:rFonts w:ascii="Times New Roman" w:hAnsi="Times New Roman"/>
          <w:b/>
          <w:i/>
          <w:sz w:val="24"/>
        </w:rPr>
        <w:t>5.3 Key Publications</w:t>
      </w:r>
    </w:p>
    <w:p>
      <w:pPr>
        <w:spacing w:after="120"/>
        <w:ind w:firstLine="720"/>
        <w:jc w:val="both"/>
      </w:pPr>
      <w:r>
        <w:rPr>
          <w:rFonts w:ascii="Times New Roman" w:hAnsi="Times New Roman"/>
          <w:b w:val="0"/>
          <w:i w:val="0"/>
          <w:sz w:val="24"/>
        </w:rPr>
        <w:t>[19] Lynch M, Walsh B. Genetics and analysis of quantitative traits. Sinauer Associates; 1998.</w:t>
        <w:br/>
        <w:t>[20] Walsh B, Lynch M. Evolution and selection of quantitative traits. Oxford University Press; 2018.</w:t>
      </w:r>
    </w:p>
    <w:p>
      <w:pPr>
        <w:spacing w:after="120"/>
        <w:ind w:firstLine="720"/>
        <w:jc w:val="both"/>
      </w:pPr>
      <w:r>
        <w:rPr>
          <w:rFonts w:ascii="Times New Roman" w:hAnsi="Times New Roman"/>
          <w:b w:val="0"/>
          <w:i w:val="0"/>
          <w:sz w:val="24"/>
        </w:rPr>
        <w:t>While Walsh's framework addresses the theoretical conditions governing selection response, it does not directly address the practical question of how to manage the risk inherent in recommending cultivars across variable environments [35,63]. This concern—the dependability of genotype performance—is the central preoccupation of the next tradition.</w:t>
      </w:r>
    </w:p>
    <w:p>
      <w:pPr>
        <w:spacing w:before="240" w:after="120"/>
        <w:jc w:val="left"/>
      </w:pPr>
      <w:r>
        <w:rPr>
          <w:rFonts w:ascii="Times New Roman" w:hAnsi="Times New Roman"/>
          <w:b/>
          <w:i w:val="0"/>
          <w:sz w:val="26"/>
        </w:rPr>
        <w:t>6. Manjit S. Kang: Stability-Oriented Thinking</w:t>
      </w:r>
    </w:p>
    <w:p>
      <w:pPr>
        <w:spacing w:before="160" w:after="80"/>
        <w:jc w:val="left"/>
      </w:pPr>
      <w:r>
        <w:rPr>
          <w:rFonts w:ascii="Times New Roman" w:hAnsi="Times New Roman"/>
          <w:b/>
          <w:i/>
          <w:sz w:val="24"/>
        </w:rPr>
        <w:t>6.1 Analytical Orientation</w:t>
      </w:r>
    </w:p>
    <w:p>
      <w:pPr>
        <w:spacing w:after="120"/>
        <w:ind w:firstLine="720"/>
        <w:jc w:val="both"/>
      </w:pPr>
      <w:r>
        <w:rPr>
          <w:rFonts w:ascii="Times New Roman" w:hAnsi="Times New Roman"/>
          <w:b w:val="0"/>
          <w:i w:val="0"/>
          <w:sz w:val="24"/>
        </w:rPr>
        <w:t>Manjit S. Kang's contribution to plant breeding centres on the proposition that yield reliability is as important as yield potential for cultivar recommendation [21,28,35]. This stance distinguishes Kang from both prediction-oriented thinkers (who prioritise the accuracy of genetic merit estimates) and theory-oriented thinkers (who prioritise mechanistic understanding). Kang's primary concern is practical and farmer-centred: a genotype that produces high average yield but fails unpredictably in some environments may be inferior, for practical purposes, to one with lower mean yield but consistent performance [28,63,75].</w:t>
      </w:r>
    </w:p>
    <w:p>
      <w:pPr>
        <w:spacing w:after="120"/>
        <w:ind w:firstLine="720"/>
        <w:jc w:val="both"/>
      </w:pPr>
      <w:r>
        <w:rPr>
          <w:rFonts w:ascii="Times New Roman" w:hAnsi="Times New Roman"/>
          <w:b w:val="0"/>
          <w:i w:val="0"/>
          <w:sz w:val="24"/>
        </w:rPr>
        <w:t>This framing draws on a long tradition in stability analysis, including the regression-based approaches of Finlay and Wilkinson [10] and Eberhart and Russell [27], the stability variance of Shukla [11], the ecovalence of Wricke [73], the stability statistics of Francis and Kannenberg [76], and the classification framework of Lin et al. [34]. Kang's contribution was to synthesise these precedents into a decision-oriented framework that integrates yield and stability into a single selection criterion [21,28].</w:t>
      </w:r>
    </w:p>
    <w:p>
      <w:pPr>
        <w:spacing w:before="160" w:after="80"/>
        <w:jc w:val="left"/>
      </w:pPr>
      <w:r>
        <w:rPr>
          <w:rFonts w:ascii="Times New Roman" w:hAnsi="Times New Roman"/>
          <w:b/>
          <w:i/>
          <w:sz w:val="24"/>
        </w:rPr>
        <w:t>6.2 Foundational Contributions</w:t>
      </w:r>
    </w:p>
    <w:p>
      <w:pPr>
        <w:spacing w:after="120"/>
        <w:ind w:firstLine="720"/>
        <w:jc w:val="both"/>
      </w:pPr>
      <w:r>
        <w:rPr>
          <w:rFonts w:ascii="Times New Roman" w:hAnsi="Times New Roman"/>
          <w:b w:val="0"/>
          <w:i w:val="0"/>
          <w:sz w:val="24"/>
        </w:rPr>
        <w:t>The Yield–Stability (YS) statistic. Kang's most commonly applied contribution is the rank-sum method for simultaneous selection for yield and stability [21]. The YS statistic combines a genotype's yield rank with its stability rank, the latter based on Shukla's [11] stability variance, into a single non-parametric index [21,61,72]. The method is notable for its simplicity and direct decision relevance: it produces a single ranking that balances productivity and dependability without requiring the breeder to specify weights for the two criteria. The approach was further validated and extended in Kang [28], which demonstrated its consequences for grower-level cultivar recommendations [35,63].</w:t>
      </w:r>
    </w:p>
    <w:p>
      <w:pPr>
        <w:spacing w:after="120"/>
        <w:ind w:firstLine="720"/>
        <w:jc w:val="both"/>
      </w:pPr>
      <w:r>
        <w:rPr>
          <w:rFonts w:ascii="Times New Roman" w:hAnsi="Times New Roman"/>
          <w:b w:val="0"/>
          <w:i w:val="0"/>
          <w:sz w:val="24"/>
        </w:rPr>
        <w:t>GEI as information for cultivar deployment. Kang's broader research programme treats genotype × environment interaction not as a statistical complication to be removed but as a source of information for targeted cultivar recommendation [36,37,79,80]. His edited volumes [36,37] brought together researchers working on different aspects of GEI and helped establish the view that interaction effects, when properly analysed, can guide the identification of genotypes adapted to specific production conditions [81,96].</w:t>
      </w:r>
    </w:p>
    <w:p>
      <w:pPr>
        <w:spacing w:after="120"/>
        <w:ind w:firstLine="720"/>
        <w:jc w:val="both"/>
      </w:pPr>
      <w:r>
        <w:rPr>
          <w:rFonts w:ascii="Times New Roman" w:hAnsi="Times New Roman"/>
          <w:b w:val="0"/>
          <w:i w:val="0"/>
          <w:sz w:val="24"/>
        </w:rPr>
        <w:t>Relevance to variable environments. Kang's emphasis on dependability has gained practical significance as climate variability increases [47,49]. In production systems characterised by unpredictable rainfall, temperature extremes, or biotic stress, the ability to identify genotypes that maintain acceptable performance across a range of conditions is a direct breeding objective [2,49]. [[REPLACED: removed [102] Löffler et al. 2005 (maize environment classification via GIS — methodological mismatch; not about smallholder climate risk); [2,49] are the appropriate references for developing-world climate adaptation]] Kang's framework provides the analytical tools for this objective and positions stability analysis as a core component of climate-resilient breeding [35,36]. Multi-environment evaluations of cowpea, soybean, and other tropical crops in West Africa have drawn on Kang's framework to identify stable, high-yielding genotypes for farmer recommendation across contrasting agroecological zones [38,114].</w:t>
      </w:r>
    </w:p>
    <w:p>
      <w:pPr>
        <w:spacing w:after="120"/>
        <w:ind w:firstLine="720"/>
        <w:jc w:val="both"/>
      </w:pPr>
      <w:r>
        <w:rPr>
          <w:rFonts w:ascii="Times New Roman" w:hAnsi="Times New Roman"/>
          <w:b w:val="0"/>
          <w:i w:val="0"/>
          <w:sz w:val="24"/>
        </w:rPr>
        <w:t>Kang's rank-sum statistic, while operationally straightforward, has been criticised on methodological grounds [61,72]. Its non-parametric structure makes it robust to distributional assumptions, but it may oversimplify the multidimensional character of GEI by compressing complex patterns of crossover interaction—environments where rank orders of genotypes genuinely differ—into a single composite index [34,64,71]. Programmes where the structure of GEI is intrinsically important for recommendation decisions may require analytical tools that preserve that structure rather than averaging across it [36,79,80].</w:t>
      </w:r>
    </w:p>
    <w:p>
      <w:pPr>
        <w:spacing w:before="160" w:after="80"/>
        <w:jc w:val="left"/>
      </w:pPr>
      <w:r>
        <w:rPr>
          <w:rFonts w:ascii="Times New Roman" w:hAnsi="Times New Roman"/>
          <w:b/>
          <w:i/>
          <w:sz w:val="24"/>
        </w:rPr>
        <w:t>6.3 Key Publications</w:t>
      </w:r>
    </w:p>
    <w:p>
      <w:pPr>
        <w:spacing w:after="120"/>
        <w:ind w:firstLine="720"/>
        <w:jc w:val="both"/>
      </w:pPr>
      <w:r>
        <w:rPr>
          <w:rFonts w:ascii="Times New Roman" w:hAnsi="Times New Roman"/>
          <w:b w:val="0"/>
          <w:i w:val="0"/>
          <w:sz w:val="24"/>
        </w:rPr>
        <w:t>[21] Kang MS. A rank-sum method for selecting high-yielding, stable corn genotypes. Cereal Res Commun. 1988;16:113–115.</w:t>
        <w:br/>
        <w:t>[28] Kang MS. Simultaneous selection for yield and stability in crop performance trials: consequences for growers. Agron J. 1993;85(3):754–757.</w:t>
        <w:br/>
        <w:t>[36] Kang MS, Gauch HG, editors. Genotype-by-environment interaction. CRC Press; 1996.</w:t>
        <w:br/>
        <w:t>[35] Kang MS. Using genotype-by-environment interaction for crop cultivar development. Adv Agron. 1998;62:199–252.</w:t>
        <w:br/>
        <w:t>[37] Kang MS, editor. Quantitative genetics, genomics, and plant breeding. CABI Publishing; 2002.</w:t>
      </w:r>
    </w:p>
    <w:p>
      <w:pPr>
        <w:spacing w:after="120"/>
        <w:ind w:firstLine="720"/>
        <w:jc w:val="both"/>
      </w:pPr>
      <w:r>
        <w:rPr>
          <w:rFonts w:ascii="Times New Roman" w:hAnsi="Times New Roman"/>
          <w:b w:val="0"/>
          <w:i w:val="0"/>
          <w:sz w:val="24"/>
        </w:rPr>
        <w:t>Kang's framework identifies genotypes that are broadly stable, but it does not reveal the spatial and environmental patterns underlying differential genotype performance. Visualising these patterns—making the structure of GEI directly accessible to the breeder's eye—is the defining contribution of the next tradition [22,23,40,68].</w:t>
      </w:r>
    </w:p>
    <w:p>
      <w:pPr>
        <w:spacing w:before="240" w:after="120"/>
        <w:jc w:val="left"/>
      </w:pPr>
      <w:r>
        <w:rPr>
          <w:rFonts w:ascii="Times New Roman" w:hAnsi="Times New Roman"/>
          <w:b/>
          <w:i w:val="0"/>
          <w:sz w:val="26"/>
        </w:rPr>
        <w:t>7. Weikai Yan: Visualisation-Oriented GEI Thinking</w:t>
      </w:r>
    </w:p>
    <w:p>
      <w:pPr>
        <w:spacing w:before="160" w:after="80"/>
        <w:jc w:val="left"/>
      </w:pPr>
      <w:r>
        <w:rPr>
          <w:rFonts w:ascii="Times New Roman" w:hAnsi="Times New Roman"/>
          <w:b/>
          <w:i/>
          <w:sz w:val="24"/>
        </w:rPr>
        <w:t>7.1 Analytical Orientation</w:t>
      </w:r>
    </w:p>
    <w:p>
      <w:pPr>
        <w:spacing w:after="120"/>
        <w:ind w:firstLine="720"/>
        <w:jc w:val="both"/>
      </w:pPr>
      <w:r>
        <w:rPr>
          <w:rFonts w:ascii="Times New Roman" w:hAnsi="Times New Roman"/>
          <w:b w:val="0"/>
          <w:i w:val="0"/>
          <w:sz w:val="24"/>
        </w:rPr>
        <w:t>Weikai Yan's contribution to plant breeding rests on the proposition that graphical display of multi-environment trial data can reveal patterns that numerical summaries obscure [22,23,40,68]. Yan's GGE biplot methodology transforms the two-way genotype-by-environment data matrix into a geometric representation in which genotypes and environments are simultaneously displayed as points in a biplot, and the relationships among them are expressed as distances, angles, and projections [22,23,69].</w:t>
      </w:r>
    </w:p>
    <w:p>
      <w:pPr>
        <w:spacing w:after="120"/>
        <w:ind w:firstLine="720"/>
        <w:jc w:val="both"/>
      </w:pPr>
      <w:r>
        <w:rPr>
          <w:rFonts w:ascii="Times New Roman" w:hAnsi="Times New Roman"/>
          <w:b w:val="0"/>
          <w:i w:val="0"/>
          <w:sz w:val="24"/>
        </w:rPr>
        <w:t>This represents a shift from table-based to graph-based reasoning about GEI. Earlier approaches to GEI analysis produced numerical outputs—stability parameters [11,27,34,73], ANOVA partitions [67], interaction principal component scores [24,25,66]—that required statistical training to interpret. Yan's biplots make key decisions directly visible: which genotype wins in which environments, how environments cluster, and which genotypes combine high mean performance with low interaction effects [22,40,41].</w:t>
      </w:r>
    </w:p>
    <w:p>
      <w:pPr>
        <w:spacing w:before="160" w:after="80"/>
        <w:jc w:val="left"/>
      </w:pPr>
      <w:r>
        <w:rPr>
          <w:rFonts w:ascii="Times New Roman" w:hAnsi="Times New Roman"/>
          <w:b/>
          <w:i/>
          <w:sz w:val="24"/>
        </w:rPr>
        <w:t>7.2 Foundational Contributions</w:t>
      </w:r>
    </w:p>
    <w:p>
      <w:pPr>
        <w:spacing w:after="120"/>
        <w:ind w:firstLine="720"/>
        <w:jc w:val="both"/>
      </w:pPr>
      <w:r>
        <w:rPr>
          <w:rFonts w:ascii="Times New Roman" w:hAnsi="Times New Roman"/>
          <w:b w:val="0"/>
          <w:i w:val="0"/>
          <w:sz w:val="24"/>
        </w:rPr>
        <w:t>The GGE biplot. The defining analytical decision in Yan's framework is the choice to subject the G + GE matrix (genotype main effect plus genotype-by-environment interaction) to singular value decomposition, rather than the GE matrix alone [22,23]. Yan [23] argued that, for the purposes of cultivar evaluation and mega-environment identification, the genotype main effect and the interaction are inseparable: what matters is a genotype's total performance in each environment. The resulting biplot captures the variation most relevant to breeding decisions [6,40]. This contrasts with AMMI analysis [25], which decomposes the interaction residuals after fitting additive main effects—a difference that has generated sustained methodological debate [7,6,39].</w:t>
      </w:r>
    </w:p>
    <w:p>
      <w:pPr>
        <w:spacing w:after="120"/>
        <w:ind w:firstLine="720"/>
        <w:jc w:val="both"/>
      </w:pPr>
      <w:r>
        <w:rPr>
          <w:rFonts w:ascii="Times New Roman" w:hAnsi="Times New Roman"/>
          <w:b w:val="0"/>
          <w:i w:val="0"/>
          <w:sz w:val="24"/>
        </w:rPr>
        <w:t>Mega-environment identification and the 'which-won-where' pattern. The GGE biplot's most commonly used application is the identification of mega-environments: clusters of test environments in which the same genotype(s) rank highest [22,40,43]. The 'which-won-where' polygon view partitions the biplot into sectors, each dominated by a different genotype, with environments falling into the sector of their winning genotype [22,40]. This provides a direct visual answer to a key breeding question: should the target region be treated as one recommendation domain or subdivided into distinct mega-environments [63,81]? GGE biplot analysis has been applied in multi-environment evaluation of tropical crops including cowpea and fluted pumpkin across Nigerian agroecological zones, providing breeders and multidisciplinary teams with accessible graphical tools for communicating adaptation patterns and cultivar recommendation [38,107,114].</w:t>
      </w:r>
    </w:p>
    <w:p>
      <w:pPr>
        <w:spacing w:after="120"/>
        <w:ind w:firstLine="720"/>
        <w:jc w:val="both"/>
      </w:pPr>
      <w:r>
        <w:rPr>
          <w:rFonts w:ascii="Times New Roman" w:hAnsi="Times New Roman"/>
          <w:b w:val="0"/>
          <w:i w:val="0"/>
          <w:sz w:val="24"/>
        </w:rPr>
        <w:t>The ideal genotype concept. Yan introduced the concept of an 'ideal genotype' represented as a point on the biplot—the position of highest mean performance combined with zero interaction (maximum stability) [41]. Concentric circles centred on this point rank genotypes by their proximity to the ideal, providing a single visual criterion that integrates mean yield and stability [23,41]. The concept serves a practical function analogous to Kang's YS statistic [21] but expressed geometrically rather than numerically [68,69].</w:t>
      </w:r>
    </w:p>
    <w:p>
      <w:pPr>
        <w:spacing w:after="120"/>
        <w:ind w:firstLine="720"/>
        <w:jc w:val="both"/>
      </w:pPr>
      <w:r>
        <w:rPr>
          <w:rFonts w:ascii="Times New Roman" w:hAnsi="Times New Roman"/>
          <w:b w:val="0"/>
          <w:i w:val="0"/>
          <w:sz w:val="24"/>
        </w:rPr>
        <w:t>The GGE biplot's graphical accessibility carries a corresponding risk [6,7,39]. The spatial form of the output may encourage overinterpretation of patterns that reflect sampling variation rather than reproducible biological structure, particularly when trial networks are small, environments are poorly replicated, or the two principal components captured by the display account for only a modest fraction of total G + GE variation [62,64,71]. Breeders using GGE biplots should routinely report the proportion of variation explained by displayed axes and exercise caution in interpreting configurations near the boundary of the biplot space [6,7].</w:t>
      </w:r>
    </w:p>
    <w:p>
      <w:pPr>
        <w:spacing w:before="160" w:after="80"/>
        <w:jc w:val="left"/>
      </w:pPr>
      <w:r>
        <w:rPr>
          <w:rFonts w:ascii="Times New Roman" w:hAnsi="Times New Roman"/>
          <w:b/>
          <w:i/>
          <w:sz w:val="24"/>
        </w:rPr>
        <w:t>7.3 Key Publications</w:t>
      </w:r>
    </w:p>
    <w:p>
      <w:pPr>
        <w:spacing w:after="120"/>
        <w:ind w:firstLine="720"/>
        <w:jc w:val="both"/>
      </w:pPr>
      <w:r>
        <w:rPr>
          <w:rFonts w:ascii="Times New Roman" w:hAnsi="Times New Roman"/>
          <w:b w:val="0"/>
          <w:i w:val="0"/>
          <w:sz w:val="24"/>
        </w:rPr>
        <w:t>[22] Yan W, Hunt LA, Sheng Q, Szlavnics Z. Cultivar evaluation and mega-environment investigation based on the GGE biplot. Crop Sci. 2000;40(3):597–605.</w:t>
        <w:br/>
        <w:t>[23] Yan W. GGEbiplot—a Windows application for graphical analysis of multienvironment trial data and other types of two-way data. Agron J. 2001;93(5):1111–1118.</w:t>
        <w:br/>
        <w:t>[41] Yan W, Kang MS. GGE biplot analysis: a graphical tool for breeders, geneticists, and agronomists. CRC Press; 2002.</w:t>
        <w:br/>
        <w:t>[40] Yan W, Tinker NA. Biplot analysis of multi-environment trial data: principles and applications. Can J Plant Sci. 2006;86(3):623–645.</w:t>
        <w:br/>
        <w:t>[6] Yan W, Kang MS, Ma B, Woods S, Cornelius PL. GGE biplot vs. AMMI analysis of genotype-by-environment data. Crop Sci. 2007;47(2):643–653.</w:t>
      </w:r>
    </w:p>
    <w:p>
      <w:pPr>
        <w:spacing w:after="120"/>
        <w:ind w:firstLine="720"/>
        <w:jc w:val="both"/>
      </w:pPr>
      <w:r>
        <w:rPr>
          <w:rFonts w:ascii="Times New Roman" w:hAnsi="Times New Roman"/>
          <w:b w:val="0"/>
          <w:i w:val="0"/>
          <w:sz w:val="24"/>
        </w:rPr>
        <w:t>Yan's visualisation approach prioritises the comprehensive display of GEI patterns. A contrasting question—how much of the observed pattern is genuine biological signal, and how much is unreproducible noise [42,66,67]?—defines the final tradition examined in this review.</w:t>
      </w:r>
    </w:p>
    <w:p>
      <w:pPr>
        <w:spacing w:before="240" w:after="120"/>
        <w:jc w:val="left"/>
      </w:pPr>
      <w:r>
        <w:rPr>
          <w:rFonts w:ascii="Times New Roman" w:hAnsi="Times New Roman"/>
          <w:b/>
          <w:i w:val="0"/>
          <w:sz w:val="26"/>
        </w:rPr>
        <w:t>8. Hugh G. Gauch Jr.: Parsimony-Oriented GEI Modelling</w:t>
      </w:r>
    </w:p>
    <w:p>
      <w:pPr>
        <w:spacing w:before="160" w:after="80"/>
        <w:jc w:val="left"/>
      </w:pPr>
      <w:r>
        <w:rPr>
          <w:rFonts w:ascii="Times New Roman" w:hAnsi="Times New Roman"/>
          <w:b/>
          <w:i/>
          <w:sz w:val="24"/>
        </w:rPr>
        <w:t>8.1 Analytical Orientation</w:t>
      </w:r>
    </w:p>
    <w:p>
      <w:pPr>
        <w:spacing w:after="120"/>
        <w:ind w:firstLine="720"/>
        <w:jc w:val="both"/>
      </w:pPr>
      <w:r>
        <w:rPr>
          <w:rFonts w:ascii="Times New Roman" w:hAnsi="Times New Roman"/>
          <w:b w:val="0"/>
          <w:i w:val="0"/>
          <w:sz w:val="24"/>
        </w:rPr>
        <w:t>Hugh G. Gauch Jr.'s contribution to plant breeding is defined by a commitment to statistical parsimony—the principle that models should be as simple as possible while capturing the genuine patterns in the data [24,25,42]. Gauch's primary concern is the distinction between signal (reproducible biological pattern) and noise (unreproducible random variation) in multi-environment yield trials [24,43,44,66]. His diagnostic question for any analytical model is whether it improves prediction of future performance, not whether it fits past data more closely [25,42].</w:t>
      </w:r>
    </w:p>
    <w:p>
      <w:pPr>
        <w:spacing w:after="120"/>
        <w:ind w:firstLine="720"/>
        <w:jc w:val="both"/>
      </w:pPr>
      <w:r>
        <w:rPr>
          <w:rFonts w:ascii="Times New Roman" w:hAnsi="Times New Roman"/>
          <w:b w:val="0"/>
          <w:i w:val="0"/>
          <w:sz w:val="24"/>
        </w:rPr>
        <w:t>This orientation is explicitly informed by the philosophy of science [42]. Gauch [42] articulated the principle that model selection should be governed by predictive validation rather than goodness-of-fit, drawing on longstanding traditions in scientific inference. In practice, this means that retaining additional principal components in a GEI analysis is justified only if doing so improves prediction accuracy on independent data—a criterion that often favours simpler models over more complex ones [44,65].</w:t>
      </w:r>
    </w:p>
    <w:p>
      <w:pPr>
        <w:spacing w:before="160" w:after="80"/>
        <w:jc w:val="left"/>
      </w:pPr>
      <w:r>
        <w:rPr>
          <w:rFonts w:ascii="Times New Roman" w:hAnsi="Times New Roman"/>
          <w:b/>
          <w:i/>
          <w:sz w:val="24"/>
        </w:rPr>
        <w:t>8.2 Foundational Contributions</w:t>
      </w:r>
    </w:p>
    <w:p>
      <w:pPr>
        <w:spacing w:after="120"/>
        <w:ind w:firstLine="720"/>
        <w:jc w:val="both"/>
      </w:pPr>
      <w:r>
        <w:rPr>
          <w:rFonts w:ascii="Times New Roman" w:hAnsi="Times New Roman"/>
          <w:b w:val="0"/>
          <w:i w:val="0"/>
          <w:sz w:val="24"/>
        </w:rPr>
        <w:t>The AMMI model. Gauch's most influential contribution is the development and systematic evaluation of the Additive Main Effects and Multiplicative Interaction (AMMI) model for GEI analysis [24,25,66,67]. AMMI first fits additive main effects for genotypes and environments using analysis of variance, then subjects the interaction residuals to principal component analysis [24,64]. The number of interaction principal component axes (IPCAs) retained is determined by cross-validation or other predictive criteria [44], not by the percentage of interaction sum of squares explained. This ensures that only the reproducible component of GEI is modelled [25,65].</w:t>
      </w:r>
    </w:p>
    <w:p>
      <w:pPr>
        <w:spacing w:after="120"/>
        <w:ind w:firstLine="720"/>
        <w:jc w:val="both"/>
      </w:pPr>
      <w:r>
        <w:rPr>
          <w:rFonts w:ascii="Times New Roman" w:hAnsi="Times New Roman"/>
          <w:b w:val="0"/>
          <w:i w:val="0"/>
          <w:sz w:val="24"/>
        </w:rPr>
        <w:t>Empirical evidence for parsimonious models. A central empirical finding of Gauch's research programme is that AMMI-adjusted means—genotype means corrected for the modelled component of GEI—are more accurate predictors of future performance than raw trial means [24,43,70]. This finding has been replicated across multiple crop species and trial networks [65,66,71], and it carries a practical implication: standard breeding practice, which uses unadjusted means for selection, introduces avoidable prediction error [44,50]. Gauch [44] provided a protocol for implementing AMMI analysis with model selection based on the FR test, making the approach more accessible to applied breeding programmes [61,83].</w:t>
      </w:r>
    </w:p>
    <w:p>
      <w:pPr>
        <w:spacing w:after="120"/>
        <w:ind w:firstLine="720"/>
        <w:jc w:val="both"/>
      </w:pPr>
      <w:r>
        <w:rPr>
          <w:rFonts w:ascii="Times New Roman" w:hAnsi="Times New Roman"/>
          <w:b w:val="0"/>
          <w:i w:val="0"/>
          <w:sz w:val="24"/>
        </w:rPr>
        <w:t>The AMMI–GGE debate. Gauch has been a principal figure in the methodological debate between AMMI and GGE biplot analysis [6,7,39]. His position, articulated in Gauch [7] and Gauch et al. [39], is that AMMI's separation of additive and multiplicative components is statistically preferable because it avoids confounding genotype main effects with interaction effects in the singular value decomposition [7,39]. Yan et al. [6] have argued the opposite: that the GGE approach captures the variation most relevant to cultivar evaluation. This debate reflects a genuine difference in analytical priority—parsimony in signal extraction (Gauch) versus comprehensiveness in pattern visualisation (Yan)—and continues to animate the GEI methodology literature [79,80,81].</w:t>
      </w:r>
    </w:p>
    <w:p>
      <w:pPr>
        <w:spacing w:after="120"/>
        <w:ind w:firstLine="720"/>
        <w:jc w:val="both"/>
      </w:pPr>
      <w:r>
        <w:rPr>
          <w:rFonts w:ascii="Times New Roman" w:hAnsi="Times New Roman"/>
          <w:b w:val="0"/>
          <w:i w:val="0"/>
          <w:sz w:val="24"/>
        </w:rPr>
        <w:t>The rigour of the AMMI framework presents practical barriers in some breeding contexts [61,83,84]. Cross-validation procedures and model selection criteria require statistical competence that may not be uniformly available across national or institutional programmes, particularly in resource-limited settings [2,49]. The resulting AMMI-adjusted means, while statistically superior predictors of future performance, can be less intuitive to communicate to non-statistical stakeholders than unadjusted trial averages, which may limit their adoption in programmes where recommendation decisions require engagement with extension specialists, policymakers, or farming communities [44,63]. [[REPLACED: removed [102] Löffler et al. 2005 from resource-limited settings context; [102] is about environment classification methodology, not resource constraints; [2] Atlin et al. 2017 and [49] Cairns et al. 2013 are appropriate]]</w:t>
      </w:r>
    </w:p>
    <w:p>
      <w:pPr>
        <w:spacing w:before="160" w:after="80"/>
        <w:jc w:val="left"/>
      </w:pPr>
      <w:r>
        <w:rPr>
          <w:rFonts w:ascii="Times New Roman" w:hAnsi="Times New Roman"/>
          <w:b/>
          <w:i/>
          <w:sz w:val="24"/>
        </w:rPr>
        <w:t>8.3 Key Publications</w:t>
      </w:r>
    </w:p>
    <w:p>
      <w:pPr>
        <w:spacing w:after="120"/>
        <w:ind w:firstLine="720"/>
        <w:jc w:val="both"/>
      </w:pPr>
      <w:r>
        <w:rPr>
          <w:rFonts w:ascii="Times New Roman" w:hAnsi="Times New Roman"/>
          <w:b w:val="0"/>
          <w:i w:val="0"/>
          <w:sz w:val="24"/>
        </w:rPr>
        <w:t>[24] Gauch HG. Model selection and validation for yield trials with interaction. Biometrics. 1988;44(3):705–715.</w:t>
        <w:br/>
        <w:t>[25] Gauch HG. Statistical analysis of regional yield trials: AMMI analysis of factorial designs. Elsevier; 1992.</w:t>
        <w:br/>
        <w:t>[42] Gauch HG. Scientific method in practice. Cambridge University Press; 2003.</w:t>
        <w:br/>
        <w:t>[7] Gauch HG. Statistical analysis of yield trials by AMMI and GGE. Crop Sci. 2006;46(4):1488–1500.</w:t>
        <w:br/>
        <w:t>[43] Gauch HG, Zobel RW. Identifying mega-environments and targeting genotypes. Crop Sci. 1997;37(2):311–326.</w:t>
        <w:br/>
        <w:t>[39] Gauch HG, Piepho HP, Annicchiarico P. Statistical analysis of yield trials by AMMI and GGE: further considerations. Crop Sci. 2008;48(3):866–889.</w:t>
        <w:br/>
        <w:t>[44] Gauch HG. A simple protocol for AMMI analysis of yield trials. Crop Sci. 2013;53(5):1860–1869.</w:t>
      </w:r>
    </w:p>
    <w:p>
      <w:pPr>
        <w:spacing w:before="240" w:after="120"/>
        <w:jc w:val="left"/>
      </w:pPr>
      <w:r>
        <w:rPr>
          <w:rFonts w:ascii="Times New Roman" w:hAnsi="Times New Roman"/>
          <w:b/>
          <w:i w:val="0"/>
          <w:sz w:val="26"/>
        </w:rPr>
        <w:t>9. Comparative Synthesis</w:t>
      </w:r>
    </w:p>
    <w:p>
      <w:pPr>
        <w:spacing w:after="120"/>
        <w:ind w:firstLine="720"/>
        <w:jc w:val="both"/>
      </w:pPr>
      <w:r>
        <w:rPr>
          <w:rFonts w:ascii="Times New Roman" w:hAnsi="Times New Roman"/>
          <w:b w:val="0"/>
          <w:i w:val="0"/>
          <w:sz w:val="24"/>
        </w:rPr>
        <w:t>The five traditions examined in this review address different dimensions of the breeding problem. What emerges from this synthesis is not a set of irreconcilable contradictions but a structured set of differences in analytical priority—differences that reflect the genuine complexity of the breeding decision problem itself [87,88]. Modern breeding practice increasingly integrates these traditions, not by eliminating their tensions but by recognising that each is most powerful in specific decision contexts and at specific stages of the cultivar development pipeline [4,50,63,104]. The following subsections examine the principal axes of difference, showing where traditions diverge, where they have converged in contemporary practice, and how the resulting framework can be applied in context.</w:t>
      </w:r>
    </w:p>
    <w:p>
      <w:pPr>
        <w:spacing w:before="160" w:after="80"/>
        <w:jc w:val="left"/>
      </w:pPr>
      <w:r>
        <w:rPr>
          <w:rFonts w:ascii="Times New Roman" w:hAnsi="Times New Roman"/>
          <w:b/>
          <w:i/>
          <w:sz w:val="24"/>
        </w:rPr>
        <w:t>9.1 Prediction versus Mechanistic Explanation</w:t>
      </w:r>
    </w:p>
    <w:p>
      <w:pPr>
        <w:spacing w:after="120"/>
        <w:ind w:firstLine="720"/>
        <w:jc w:val="both"/>
      </w:pPr>
      <w:r>
        <w:rPr>
          <w:rFonts w:ascii="Times New Roman" w:hAnsi="Times New Roman"/>
          <w:b w:val="0"/>
          <w:i w:val="0"/>
          <w:sz w:val="24"/>
        </w:rPr>
        <w:t>The most fundamental difference in analytical priority in this review lies between Bernardo's prediction-oriented approach and Walsh's theory-oriented approach. Bernardo's framework treats the genome as an information source for prediction: marker effects are estimated statistically and used to forecast breeding values, without requiring that individual marker effects be biologically interpretable [1,5,52]. The genomic BLUP model, which assumes that all marker effects are drawn from a common distribution [14,51], is a deliberately agnostic approach—it maximises prediction accuracy at the cost of biological transparency [30,56].</w:t>
      </w:r>
    </w:p>
    <w:p>
      <w:pPr>
        <w:spacing w:after="120"/>
        <w:ind w:firstLine="720"/>
        <w:jc w:val="both"/>
      </w:pPr>
      <w:r>
        <w:rPr>
          <w:rFonts w:ascii="Times New Roman" w:hAnsi="Times New Roman"/>
          <w:b w:val="0"/>
          <w:i w:val="0"/>
          <w:sz w:val="24"/>
        </w:rPr>
        <w:t>Walsh's framework demands more: it requires that breeding models be consistent with the known mechanisms of inheritance, including the effects of non-additive gene action, linkage disequilibrium, and population structure [19,20,89,95]. From this perspective, a prediction model that works well empirically but is inconsistent with genetic theory is fragile—it may fail when applied to different populations or environments because it has captured statistical regularities rather than biological mechanisms [20,54,96,97].</w:t>
      </w:r>
    </w:p>
    <w:p>
      <w:pPr>
        <w:spacing w:after="120"/>
        <w:ind w:firstLine="720"/>
        <w:jc w:val="both"/>
      </w:pPr>
      <w:r>
        <w:rPr>
          <w:rFonts w:ascii="Times New Roman" w:hAnsi="Times New Roman"/>
          <w:b w:val="0"/>
          <w:i w:val="0"/>
          <w:sz w:val="24"/>
        </w:rPr>
        <w:t>In concrete terms, this is the difference between a model that predicts well in a given training set and a model that generalises reliably across populations, species, and environments [53,54,57]. The first is sufficient for immediate selection decisions; the second is necessary for long-term programme design [87]. Modern genomic selection practice increasingly recognises both demands: prediction accuracy for immediate gain, theoretical grounding for the design of training populations, choice of marker densities, and management of long-term genetic diversity [4,5,50,55]. The traditions are converging in practice even where they remain philosophically distinct [87,104].</w:t>
      </w:r>
    </w:p>
    <w:p>
      <w:pPr>
        <w:spacing w:before="160" w:after="80"/>
        <w:jc w:val="left"/>
      </w:pPr>
      <w:r>
        <w:rPr>
          <w:rFonts w:ascii="Times New Roman" w:hAnsi="Times New Roman"/>
          <w:b/>
          <w:i/>
          <w:sz w:val="24"/>
        </w:rPr>
        <w:t>9.2 Visualisation versus Parsimony in GEI Analysis</w:t>
      </w:r>
    </w:p>
    <w:p>
      <w:pPr>
        <w:spacing w:after="120"/>
        <w:ind w:firstLine="720"/>
        <w:jc w:val="both"/>
      </w:pPr>
      <w:r>
        <w:rPr>
          <w:rFonts w:ascii="Times New Roman" w:hAnsi="Times New Roman"/>
          <w:b w:val="0"/>
          <w:i w:val="0"/>
          <w:sz w:val="24"/>
        </w:rPr>
        <w:t>The GGE–AMMI debate between Yan and Gauch is the most explicit methodological disagreement examined in this review [6,7,39]. The disagreement has both a technical dimension (whether the G + GE matrix or the GE matrix should be decomposed) and an analytical philosophy dimension (whether the goal is comprehensive visualisation or parsimonious signal extraction) [42,81].</w:t>
      </w:r>
    </w:p>
    <w:p>
      <w:pPr>
        <w:spacing w:after="120"/>
        <w:ind w:firstLine="720"/>
        <w:jc w:val="both"/>
      </w:pPr>
      <w:r>
        <w:rPr>
          <w:rFonts w:ascii="Times New Roman" w:hAnsi="Times New Roman"/>
          <w:b w:val="0"/>
          <w:i w:val="0"/>
          <w:sz w:val="24"/>
        </w:rPr>
        <w:t>Yan's GGE biplot retains the genotype main effect in the decomposition, arguing that this is the component most relevant to cultivar selection—breeders care about total performance, not interaction residuals [6,22,40]. The approach produces a display that supports multiple types of inference: which-won-where, mega-environment identification, genotype ranking, and ideal genotype assessment [22,41,68]. The cost is that the biplot conflates genotype main effects with interaction effects in the principal components [6,7].</w:t>
      </w:r>
    </w:p>
    <w:p>
      <w:pPr>
        <w:spacing w:after="120"/>
        <w:ind w:firstLine="720"/>
        <w:jc w:val="both"/>
      </w:pPr>
      <w:r>
        <w:rPr>
          <w:rFonts w:ascii="Times New Roman" w:hAnsi="Times New Roman"/>
          <w:b w:val="0"/>
          <w:i w:val="0"/>
          <w:sz w:val="24"/>
        </w:rPr>
        <w:t>Gauch's AMMI model separates additive and multiplicative components, arguing that this separation is necessary for accurate signal extraction and that failing to do so risks fitting noise in the genotype main effects as if it were interaction pattern [7,24,25,39,64,65]. The cost is that the resulting displays are less directly interpretable for cultivar evaluation, since the genotype main effect must be reintegrated separately [44,61].</w:t>
      </w:r>
    </w:p>
    <w:p>
      <w:pPr>
        <w:spacing w:after="120"/>
        <w:ind w:firstLine="720"/>
        <w:jc w:val="both"/>
      </w:pPr>
      <w:r>
        <w:rPr>
          <w:rFonts w:ascii="Times New Roman" w:hAnsi="Times New Roman"/>
          <w:b w:val="0"/>
          <w:i w:val="0"/>
          <w:sz w:val="24"/>
        </w:rPr>
        <w:t>This disagreement exposes a deeper question: should the primary criterion for a GEI model be interpretability for the end user or statistical fidelity to the data-generating process [42,80,81]? GGE answers the first; AMMI answers the second. Neither answer subsumes the other, and the strongest analyses of multi-environment trial data in practice commonly employ both approaches in sequence [38,70,79,114]—using AMMI for rigorous signal extraction and GGE biplots for communicating adaptation patterns to practitioners and multidisciplinary teams [44,63].</w:t>
      </w:r>
    </w:p>
    <w:p>
      <w:pPr>
        <w:spacing w:before="160" w:after="80"/>
        <w:jc w:val="left"/>
      </w:pPr>
      <w:r>
        <w:rPr>
          <w:rFonts w:ascii="Times New Roman" w:hAnsi="Times New Roman"/>
          <w:b/>
          <w:i/>
          <w:sz w:val="24"/>
        </w:rPr>
        <w:t>9.3 Broad Stability versus Specific Adaptation</w:t>
      </w:r>
    </w:p>
    <w:p>
      <w:pPr>
        <w:spacing w:after="120"/>
        <w:ind w:firstLine="720"/>
        <w:jc w:val="both"/>
      </w:pPr>
      <w:r>
        <w:rPr>
          <w:rFonts w:ascii="Times New Roman" w:hAnsi="Times New Roman"/>
          <w:b w:val="0"/>
          <w:i w:val="0"/>
          <w:sz w:val="24"/>
        </w:rPr>
        <w:t>Kang's stability framework and Yan's mega-environment analysis address related but conceptually distinct aspects of GEI [21,22,35,40]. Stability analysis asks whether a genotype's performance is consistent across environments; mega-environment analysis asks whether there are distinct environment groups in which different genotypes are superior [63,80,81].</w:t>
      </w:r>
    </w:p>
    <w:p>
      <w:pPr>
        <w:spacing w:after="120"/>
        <w:ind w:firstLine="720"/>
        <w:jc w:val="both"/>
      </w:pPr>
      <w:r>
        <w:rPr>
          <w:rFonts w:ascii="Times New Roman" w:hAnsi="Times New Roman"/>
          <w:b w:val="0"/>
          <w:i w:val="0"/>
          <w:sz w:val="24"/>
        </w:rPr>
        <w:t>The practical distinction becomes apparent when a genotype that is 'stable' in Kang's sense (low stability variance across all environments) [11,21,34,73] is not the top performer in any mega-environment identified by Yan's biplot [22,40]. Conversely, a genotype that dominates a specific mega-environment may exhibit high instability when evaluated across the full set of test environments [62,64]. The first genotype is broadly adapted but not specifically superior; the second is specifically adapted but not broadly dependable [63,72].</w:t>
      </w:r>
    </w:p>
    <w:p>
      <w:pPr>
        <w:spacing w:after="120"/>
        <w:ind w:firstLine="720"/>
        <w:jc w:val="both"/>
      </w:pPr>
      <w:r>
        <w:rPr>
          <w:rFonts w:ascii="Times New Roman" w:hAnsi="Times New Roman"/>
          <w:b w:val="0"/>
          <w:i w:val="0"/>
          <w:sz w:val="24"/>
        </w:rPr>
        <w:t>This is not a statistical ambiguity to be resolved by a better model [7,39]; it is a genuine agronomic trade-off. Broad stability prioritises insurance against environmental unpredictability—a critical consideration for risk-averse smallholder systems [2,49]. Specific adaptation prioritises yield maximisation within defined recommendation domains—a priority that makes sense when environments are well characterised and production systems are more commercial [63,81,104]. The choice is ultimately economic and social in character, and the analytical frameworks of Kang and Yan are tools for informing rather than resolving it [36,37,87]. [[REPLACED: removed [102] Löffler et al. 2005 from smallholder risk-aversion context; [2,49] are the appropriate references for smallholder/developing-world breeding contexts]]</w:t>
      </w:r>
    </w:p>
    <w:p>
      <w:pPr>
        <w:spacing w:before="160" w:after="80"/>
        <w:jc w:val="left"/>
      </w:pPr>
      <w:r>
        <w:rPr>
          <w:rFonts w:ascii="Times New Roman" w:hAnsi="Times New Roman"/>
          <w:b/>
          <w:i/>
          <w:sz w:val="24"/>
        </w:rPr>
        <w:t>9.4 A Framework for Integration</w:t>
      </w:r>
    </w:p>
    <w:p>
      <w:pPr>
        <w:spacing w:after="120"/>
        <w:ind w:firstLine="720"/>
        <w:jc w:val="both"/>
      </w:pPr>
      <w:r>
        <w:rPr>
          <w:rFonts w:ascii="Times New Roman" w:hAnsi="Times New Roman"/>
          <w:b w:val="0"/>
          <w:i w:val="0"/>
          <w:sz w:val="24"/>
        </w:rPr>
        <w:t>Despite these differences, the five traditions collectively cover the major analytical dimensions of the breeding problem. A synthetic framework can be expressed as a set of roles that a complete breeding analysis should fulfil [87,104]:</w:t>
      </w:r>
    </w:p>
    <w:p>
      <w:pPr>
        <w:spacing w:after="120"/>
        <w:ind w:firstLine="720"/>
        <w:jc w:val="both"/>
      </w:pPr>
      <w:r>
        <w:rPr>
          <w:rFonts w:ascii="Times New Roman" w:hAnsi="Times New Roman"/>
          <w:b w:val="0"/>
          <w:i w:val="0"/>
          <w:sz w:val="24"/>
        </w:rPr>
        <w:t>Prediction (Bernardo): Estimate genetic merit from genomic and phenotypic data to identify promising candidates before extensive field testing [1,3,14,51].</w:t>
        <w:br/>
        <w:t>Theoretical grounding (Walsh): Ensure that prediction models, mating designs, and selection strategies are consistent with quantitative genetic principles and their known limits of validity [19,20,87,89].</w:t>
        <w:br/>
        <w:t>Risk assessment (Kang): Evaluate whether candidate cultivars meet reliability requirements for the target production system and farming population [21,28,35,63].</w:t>
        <w:br/>
        <w:t>Pattern visualisation (Yan): Display GEI patterns to identify mega-environments, characterise adaptation, and communicate results to multidisciplinary teams [22,40,41,68].</w:t>
        <w:br/>
        <w:t>Model discipline (Gauch): Apply parsimony principles to distinguish signal from noise and to avoid overfitting in the analysis of multi-environment data [24,25,42,44].</w:t>
      </w:r>
    </w:p>
    <w:p>
      <w:pPr>
        <w:spacing w:after="120"/>
        <w:ind w:firstLine="720"/>
        <w:jc w:val="both"/>
      </w:pPr>
      <w:r>
        <w:rPr>
          <w:rFonts w:ascii="Times New Roman" w:hAnsi="Times New Roman"/>
          <w:b w:val="0"/>
          <w:i w:val="0"/>
          <w:sz w:val="24"/>
        </w:rPr>
        <w:t>No single tradition is sufficient. A breeding programme that predicts well but ignores stability will release cultivars that disappoint farmers in variable environments [2,49]. One that emphasises stability but lacks predictive tools will be slow to achieve genetic gain [4,5]. One that visualises patterns without parsimony may interpret noise as biological signal [7,39,42]. The contribution of this review is to make these interdependencies explicit and to argue that awareness of the reasoning traditions behind each method improves the quality and defensibility of breeding decisions [87,88].</w:t>
      </w:r>
    </w:p>
    <w:p>
      <w:pPr>
        <w:spacing w:before="160" w:after="80"/>
        <w:jc w:val="left"/>
      </w:pPr>
      <w:r>
        <w:rPr>
          <w:rFonts w:ascii="Times New Roman" w:hAnsi="Times New Roman"/>
          <w:b/>
          <w:i/>
          <w:sz w:val="24"/>
        </w:rPr>
        <w:t>9.5 Decision Context and Analytical Priority in Plant Breeding</w:t>
      </w:r>
    </w:p>
    <w:p>
      <w:pPr>
        <w:spacing w:after="120"/>
        <w:ind w:firstLine="720"/>
        <w:jc w:val="both"/>
      </w:pPr>
      <w:r>
        <w:rPr>
          <w:rFonts w:ascii="Times New Roman" w:hAnsi="Times New Roman"/>
          <w:b w:val="0"/>
          <w:i w:val="0"/>
          <w:sz w:val="24"/>
        </w:rPr>
        <w:t>The preceding synthesis reveals that no single analytical tradition dominates all breeding contexts [87]. The appropriate prioritisation of traditions depends on the specific decision problem facing a breeding programme: the structure of the target environment, available resources, the genetic architecture of the trait under selection, and the risk tolerance of the farming systems served [2,49,63,104]. Table 2 summarises recommended analytical priorities across four representative breeding contexts.</w:t>
      </w:r>
    </w:p>
    <w:p>
      <w:pPr>
        <w:spacing w:before="160" w:after="80"/>
        <w:jc w:val="left"/>
      </w:pPr>
      <w:r>
        <w:rPr>
          <w:rFonts w:ascii="Times New Roman" w:hAnsi="Times New Roman"/>
          <w:b/>
          <w:i w:val="0"/>
          <w:sz w:val="22"/>
        </w:rPr>
        <w:t>Table 2. Decision context and analytical priority in plant breeding: recommended framework.</w:t>
      </w:r>
    </w:p>
    <w:p>
      <w:pPr>
        <w:spacing w:after="120"/>
        <w:ind w:firstLine="720"/>
        <w:jc w:val="both"/>
      </w:pPr>
      <w:r>
        <w:rPr>
          <w:rFonts w:ascii="Times New Roman" w:hAnsi="Times New Roman"/>
          <w:b w:val="0"/>
          <w:i w:val="0"/>
          <w:sz w:val="24"/>
        </w:rPr>
        <w:t>[Table 2 — see manuscript body: Breeding Context | Dominant Analytical Traditions | Rationale]</w:t>
      </w:r>
    </w:p>
    <w:p>
      <w:pPr>
        <w:spacing w:after="120"/>
        <w:ind w:firstLine="720"/>
        <w:jc w:val="both"/>
      </w:pPr>
      <w:r>
        <w:rPr>
          <w:rFonts w:ascii="Times New Roman" w:hAnsi="Times New Roman"/>
          <w:b w:val="0"/>
          <w:i w:val="0"/>
          <w:sz w:val="24"/>
        </w:rPr>
        <w:t>These recommendations are not prescriptive protocols; they represent starting points for analytical thinking that must be adapted to specific programme contexts [63,87]. Sophisticated breeding programmes will typically draw on all five traditions throughout the product development cycle, shifting emphasis at different stages: prediction tools at early selection stages [1,5,52], GEI analysis during advanced multi-environment testing [22,40,44,81], stability criteria at the point of cultivar release recommendation [28,35,63], and theoretical foundations throughout to ensure the coherence and defensibility of the overall analytical framework [19,20,87]. The value of making these priorities explicit lies precisely in the discipline it imposes: decisions about which analytical tradition to privilege in a given context become transparent, defensible, and communicable to collaborators, funders, and partners [42,104].</w:t>
      </w:r>
    </w:p>
    <w:p>
      <w:pPr>
        <w:spacing w:before="240" w:after="120"/>
        <w:jc w:val="left"/>
      </w:pPr>
      <w:r>
        <w:rPr>
          <w:rFonts w:ascii="Times New Roman" w:hAnsi="Times New Roman"/>
          <w:b/>
          <w:i w:val="0"/>
          <w:sz w:val="26"/>
        </w:rPr>
        <w:t>10. Implications for Contemporary Plant Breeding</w:t>
      </w:r>
    </w:p>
    <w:p>
      <w:pPr>
        <w:spacing w:before="160" w:after="80"/>
        <w:jc w:val="left"/>
      </w:pPr>
      <w:r>
        <w:rPr>
          <w:rFonts w:ascii="Times New Roman" w:hAnsi="Times New Roman"/>
          <w:b/>
          <w:i/>
          <w:sz w:val="24"/>
        </w:rPr>
        <w:t>10.1 Genomic Selection</w:t>
      </w:r>
    </w:p>
    <w:p>
      <w:pPr>
        <w:spacing w:after="120"/>
        <w:ind w:firstLine="720"/>
        <w:jc w:val="both"/>
      </w:pPr>
      <w:r>
        <w:rPr>
          <w:rFonts w:ascii="Times New Roman" w:hAnsi="Times New Roman"/>
          <w:b w:val="0"/>
          <w:i w:val="0"/>
          <w:sz w:val="24"/>
        </w:rPr>
        <w:t>The global adoption of genomic selection validates Bernardo's prediction-oriented paradigm [5,4,104]. Effective implementation, however, requires engagement with all five traditions. The genetic architecture of target traits determines which prediction models are appropriate [20,54,55,95]. The stability of prediction accuracy across environments remains an open challenge that Kang's framework helps to characterise [35,45]. GEI in training populations must be modelled appropriately—whether through environment-specific genomic prediction [45], reaction norm models [46], or AMMI-adjusted training data—and the choice of model complexity requires the parsimony principles articulated by Gauch [44,50]. Genomic selection is not a purely computational undertaking; it is a multi-dimensional decision problem that benefits from the full analytical framework described in this review [87,104].</w:t>
      </w:r>
    </w:p>
    <w:p>
      <w:pPr>
        <w:spacing w:before="160" w:after="80"/>
        <w:jc w:val="left"/>
      </w:pPr>
      <w:r>
        <w:rPr>
          <w:rFonts w:ascii="Times New Roman" w:hAnsi="Times New Roman"/>
          <w:b/>
          <w:i/>
          <w:sz w:val="24"/>
        </w:rPr>
        <w:t>10.2 Climate-Resilient Breeding</w:t>
      </w:r>
    </w:p>
    <w:p>
      <w:pPr>
        <w:spacing w:after="120"/>
        <w:ind w:firstLine="720"/>
        <w:jc w:val="both"/>
      </w:pPr>
      <w:r>
        <w:rPr>
          <w:rFonts w:ascii="Times New Roman" w:hAnsi="Times New Roman"/>
          <w:b w:val="0"/>
          <w:i w:val="0"/>
          <w:sz w:val="24"/>
        </w:rPr>
        <w:t>Climate change is increasing environmental unpredictability, which raises the practical importance of stability-oriented thinking [47,49]. [[REPLACED: removed [102] Löffler et al. 2005 (maize environment classification tool — not about climate change impacts on breeding priorities); [47] Harfouche et al. 2019 and [49] Cairns et al. 2013 are the appropriate climate resilience references here]] Breeding for climate resilience requires genotypes that maintain acceptable performance across a wider and less predictable range of environmental conditions [2,49,118]. Kang's yield–stability framework provides the selection criteria [21,28,35]; Yan's GGE biplot provides tools for identifying whether mega-environments are shifting under changing climate regimes [22,40,68]; Walsh's theoretical framework addresses the genetic basis of phenotypic plasticity [20,98]; and Bernardo's predictive tools enable the acceleration of selection cycles [3,18,52]. Integration of these perspectives into climate-adaptation breeding programmes, rather than reliance on any single approach, is likely to determine their effectiveness [87,104].</w:t>
      </w:r>
    </w:p>
    <w:p>
      <w:pPr>
        <w:spacing w:before="160" w:after="80"/>
        <w:jc w:val="left"/>
      </w:pPr>
      <w:r>
        <w:rPr>
          <w:rFonts w:ascii="Times New Roman" w:hAnsi="Times New Roman"/>
          <w:b/>
          <w:i/>
          <w:sz w:val="24"/>
        </w:rPr>
        <w:t>10.3 Artificial Intelligence and Decision Support</w:t>
      </w:r>
    </w:p>
    <w:p>
      <w:pPr>
        <w:spacing w:after="120"/>
        <w:ind w:firstLine="720"/>
        <w:jc w:val="both"/>
      </w:pPr>
      <w:r>
        <w:rPr>
          <w:rFonts w:ascii="Times New Roman" w:hAnsi="Times New Roman"/>
          <w:b w:val="0"/>
          <w:i w:val="0"/>
          <w:sz w:val="24"/>
        </w:rPr>
        <w:t>Machine learning and artificial intelligence are increasingly applied to breeding decisions, including prediction of genetic merit, optimisation of crossing schemes, and analysis of high-throughput phenotyping data [47,48,100,101,124]. These tools raise analytical issues that the traditions examined here can address directly. Gauch's parsimony framework provides criteria for evaluating whether machine learning models are capturing genuine signal or overfitting noise [42,44]—a persistent risk with flexible, high-dimensional models [59,60,100]. Walsh's theoretical framework enables assessment of whether AI-derived predictions are consistent with known genetic mechanisms [20,96,97]. Yan's visualisation methods may serve as interpretability tools for complex models, making their outputs accessible to practitioners who must translate computational predictions into breeding decisions [22,41,47].</w:t>
      </w:r>
    </w:p>
    <w:p>
      <w:pPr>
        <w:spacing w:before="160" w:after="80"/>
        <w:jc w:val="left"/>
      </w:pPr>
      <w:r>
        <w:rPr>
          <w:rFonts w:ascii="Times New Roman" w:hAnsi="Times New Roman"/>
          <w:b/>
          <w:i/>
          <w:sz w:val="24"/>
        </w:rPr>
        <w:t>10.4 Breeding Programme Design in Variable Environments</w:t>
      </w:r>
    </w:p>
    <w:p>
      <w:pPr>
        <w:spacing w:after="120"/>
        <w:ind w:firstLine="720"/>
        <w:jc w:val="both"/>
      </w:pPr>
      <w:r>
        <w:rPr>
          <w:rFonts w:ascii="Times New Roman" w:hAnsi="Times New Roman"/>
          <w:b w:val="0"/>
          <w:i w:val="0"/>
          <w:sz w:val="24"/>
        </w:rPr>
        <w:t>The design of multi-environment trial networks is a decision problem that draws on all five traditions [63,87]. Prediction models (Bernardo) guide the selection of entries for advancement [1,3,51]. Quantitative genetic theory (Walsh) informs variance component estimation and experimental design [50,83,84,85,86]. Stability criteria (Kang) define the standards for cultivar release [21,28,35,63]. GGE biplots (Yan) characterise the environmental structure of the trial network [22,40,41,81]. AMMI analysis (Gauch) ensures that trial data are analysed with appropriate parsimony [24,44,65,66].</w:t>
      </w:r>
    </w:p>
    <w:p>
      <w:pPr>
        <w:spacing w:after="120"/>
        <w:ind w:firstLine="720"/>
        <w:jc w:val="both"/>
      </w:pPr>
      <w:r>
        <w:rPr>
          <w:rFonts w:ascii="Times New Roman" w:hAnsi="Times New Roman"/>
          <w:b w:val="0"/>
          <w:i w:val="0"/>
          <w:sz w:val="24"/>
        </w:rPr>
        <w:t>These considerations are particularly consequential for breeding programmes in sub-Saharan Africa, where target environments are diverse, resources for multi-environment testing are limited, and the farming systems served are predominantly smallholder [49,2]. The five analytical traditions examined in this review are not simply methodological imports from developed-country breeding programmes; they represent general principles of scientific inference and decision-making that are especially pertinent to the specific challenges of African plant breeding [87,104]. The constraints of variable rainfall, limited soil fertility, smallholder risk aversion, and restricted trial networks in West and East Africa do not render these frameworks less applicable—they make them more essential [2,49]. [[REPLACED: removed [103] Heinemann et al. 2022 (freshwater availability and rice production in sub-Saharan Africa — thematic mismatch; not about analytical framework applicability); [2,49] Atlin et al. 2017 and Cairns et al. 2013 are domain-appropriate for developing-world breeding system constraints]]</w:t>
      </w:r>
    </w:p>
    <w:p>
      <w:pPr>
        <w:spacing w:after="120"/>
        <w:ind w:firstLine="720"/>
        <w:jc w:val="both"/>
      </w:pPr>
      <w:r>
        <w:rPr>
          <w:rFonts w:ascii="Times New Roman" w:hAnsi="Times New Roman"/>
          <w:b w:val="0"/>
          <w:i w:val="0"/>
          <w:sz w:val="24"/>
        </w:rPr>
        <w:t>Kang's stability framework aligns directly with the risk-management priorities of smallholder maize, sorghum, and cowpea farmers in the West African savanna and East African highlands, where a single season of crop failure can threaten household food security [2,49]. [[REPLACED: removed [102] Löffler et al. 2005 (maize environment classification using GIS — does not support smallholder food security risk); [2,49] are the appropriate smallholder/developing-world references]] Yan's visualisation tools have been applied to multi-environment trials of maize, cassava, and cowpea across the continent, providing accessible methods for communicating GEI patterns to multidisciplinary teams that include agronomists, economists, and extension specialists [38,107,114]. Bernardo's predictive approaches offer a route to accelerating genetic gain in programmes where the number of field testing sites is constrained by cost and logistics [3,18,57]—a common reality in national agricultural research systems across the region [2]. Walsh's theoretical foundations guard against the adoption of methods whose assumptions may not hold in tropical breeding contexts, where non-additive gene action and genotype × management interactions are often substantial [20,95,96]. Gauch's parsimony principles help programmes extract maximum information from limited trial data [44,61]—an imperative when a national cassava or sorghum programme may evaluate dozens of clones or lines across only four to six environments per year [2,49]. [[REPLACED: removed [103] Heinemann et al. 2022 (rice/freshwater in sub-Saharan Africa — thematic mismatch for national programme resource constraints); [2,49] are the appropriate references for restricted trial network contexts in developing-country programmes]]</w:t>
      </w:r>
    </w:p>
    <w:p>
      <w:pPr>
        <w:spacing w:after="120"/>
        <w:ind w:firstLine="720"/>
        <w:jc w:val="both"/>
      </w:pPr>
      <w:r>
        <w:rPr>
          <w:rFonts w:ascii="Times New Roman" w:hAnsi="Times New Roman"/>
          <w:b w:val="0"/>
          <w:i w:val="0"/>
          <w:sz w:val="24"/>
        </w:rPr>
        <w:t>These frameworks have been actively deployed and validated in West African contexts. Fayeun et al. [38] demonstrated the combined application of AMMI, GGE biplot, and stability statistics in multi-environment evaluation of cowpea genotypes across Nigerian agroecological zones, illustrating how the five analytical traditions examined in this review can be integrated within a single practical breeding decision framework in sub-Saharan Africa [107,114]. Edugbo et al. [114] similarly assessed soybean yield across environments using AMMI and GGE biplot models in Nigeria, corroborating the utility of these approaches in West African smallholder contexts. The author's broader programme of research on vegetable crops, including stability analysis of fluted pumpkin genotypes [107,108] and cowpea [38,122,123], genetic variability studies [105,106,111,115,116,119], path coefficient and correlation analyses [112,116], and applications of principal component analysis [109] and biplot methods [107], illustrates the cumulative application of these analytical traditions across multiple crop species, environments, and research questions within the Nigerian agricultural system. Recent investments in genomic infrastructure, regional trial networks, and data management platforms across Africa [2,104] are creating the conditions under which these frameworks can be applied at scale. The challenge is not merely to adopt the methods but to internalise the reasoning traditions behind them, ensuring that analytical tools are applied in ways that are scientifically defensible and contextually appropriate for the crops, environments, and farming systems served [87,88].</w:t>
      </w:r>
    </w:p>
    <w:p>
      <w:pPr>
        <w:spacing w:before="240" w:after="120"/>
        <w:jc w:val="left"/>
      </w:pPr>
      <w:r>
        <w:rPr>
          <w:rFonts w:ascii="Times New Roman" w:hAnsi="Times New Roman"/>
          <w:b/>
          <w:i w:val="0"/>
          <w:sz w:val="26"/>
        </w:rPr>
        <w:t>11. Scope and Limitations</w:t>
      </w:r>
    </w:p>
    <w:p>
      <w:pPr>
        <w:spacing w:after="120"/>
        <w:ind w:firstLine="720"/>
        <w:jc w:val="both"/>
      </w:pPr>
      <w:r>
        <w:rPr>
          <w:rFonts w:ascii="Times New Roman" w:hAnsi="Times New Roman"/>
          <w:b w:val="0"/>
          <w:i w:val="0"/>
          <w:sz w:val="24"/>
        </w:rPr>
        <w:t>Several limitations of this review should be acknowledged. First, the selection of five thinkers, while deliberate and justified (Section 2.2), is inherently non-exhaustive [15,87]. Other scholars have made foundational contributions to prediction, GEI modelling, mixed-model analysis, and breeding programme optimisation that are not examined here: Piepho's mixed-model and stability methods [50,61], van Eeuwijk's QTL-by-environment modelling [79,80,81], Cullis and Smith's spatial and linear mixed-model approaches for plant breeding trials [83,84], and Crossa's work on genomic prediction and GEI integration [4,45,70]. Alternative selections would produce different but equally valid syntheses. [[ADDED: [50,61] for Piepho; [79,80,81] for van Eeuwijk; [83,84] for Cullis/Smith; [4,45,70] for Crossa — these scholars were cited by name in §2.2 with full citation support but §11 previously referenced them implicitly without citation anchors]] Second, this is a conceptual review that analyses reasoning traditions as expressed through published work; it does not assess the quantitative impact of specific methods on genetic gain or breeding efficiency, which would require a different analytical approach [15,42]. Third, the characterisation of each tradition necessarily involves some simplification; the body of work of each scholar is broader than any single analytical label can fully represent [87]. Finally, the traditions are presented as relatively distinct orientations, whereas in practice many plant breeders draw on multiple traditions simultaneously, and the boundaries among them are more fluid than a structured review can entirely capture [87,88,104]. These limitations define the scope within which the central argument is made but do not undermine the argument itself—that explicit attention to the reasoning traditions behind analytical methods improves the rigour and defensibility of breeding decisions [42,87].</w:t>
      </w:r>
    </w:p>
    <w:p>
      <w:pPr>
        <w:spacing w:before="240" w:after="120"/>
        <w:jc w:val="left"/>
      </w:pPr>
      <w:r>
        <w:rPr>
          <w:rFonts w:ascii="Times New Roman" w:hAnsi="Times New Roman"/>
          <w:b/>
          <w:i w:val="0"/>
          <w:sz w:val="26"/>
        </w:rPr>
        <w:t>12. Conclusion</w:t>
      </w:r>
    </w:p>
    <w:p>
      <w:pPr>
        <w:spacing w:after="120"/>
        <w:ind w:firstLine="720"/>
        <w:jc w:val="both"/>
      </w:pPr>
      <w:r>
        <w:rPr>
          <w:rFonts w:ascii="Times New Roman" w:hAnsi="Times New Roman"/>
          <w:b w:val="0"/>
          <w:i w:val="0"/>
          <w:sz w:val="24"/>
        </w:rPr>
        <w:t>This review has examined the intellectual contributions of five scholars—Rex Bernardo, Bruce Walsh, Manjit S. Kang, Weikai Yan, and Hugh G. Gauch Jr.—whose work represents distinct analytical orientations within modern plant breeding [1,19,21,22,24]. Their contributions extend beyond specific methods to define coherent reasoning traditions, each organised around a central question and a characteristic approach to evidence [87,88].</w:t>
      </w:r>
    </w:p>
    <w:p>
      <w:pPr>
        <w:spacing w:after="120"/>
        <w:ind w:firstLine="720"/>
        <w:jc w:val="both"/>
      </w:pPr>
      <w:r>
        <w:rPr>
          <w:rFonts w:ascii="Times New Roman" w:hAnsi="Times New Roman"/>
          <w:b w:val="0"/>
          <w:i w:val="0"/>
          <w:sz w:val="24"/>
        </w:rPr>
        <w:t>The comparative synthesis reveals that these traditions are complementary in scope but differ in specific analytical priorities: empirical prediction versus mechanistic explanation, visual pattern recognition versus statistical signal extraction, broad stability versus targeted adaptation [6,7,39,87]. These differences are analytically productive; they compel breeders to be explicit about what they are optimising and what they are prepared to trade off [42,63]. They are also increasingly recognised as differences of context and emphasis rather than irreconcilable methodological commitments [87,104]—a shift that reflects the growing integration of genomic, environmental, and computational tools in breeding practice [4,47,48,100].</w:t>
      </w:r>
    </w:p>
    <w:p>
      <w:pPr>
        <w:spacing w:after="120"/>
        <w:ind w:firstLine="720"/>
        <w:jc w:val="both"/>
      </w:pPr>
      <w:r>
        <w:rPr>
          <w:rFonts w:ascii="Times New Roman" w:hAnsi="Times New Roman"/>
          <w:b w:val="0"/>
          <w:i w:val="0"/>
          <w:sz w:val="24"/>
        </w:rPr>
        <w:t>The central argument of this review is that defensible breeding decisions require engagement with multiple analytical orientations [87]. Prediction without theoretical grounding is operationally powerful but lacks the mechanistic constraints needed for generalisation across populations and environments [20,54,96]. Theory without predictive application is intellectually coherent but operationally limited [3,52]. Stability analysis without GEI modelling identifies reliable genotypes but cannot characterise the patterns underlying that reliability [36,79,80]. GEI analysis without parsimony risks interpreting noise as biological signal [7,39,42]. The new decision framework proposed in Section 9.5 provides a practical guide for allocating analytical priority across four representative breeding contexts, offering a citable synthesis for programme designers, curriculum developers, and researchers engaged in methods evaluation [87,88,104].</w:t>
      </w:r>
    </w:p>
    <w:p>
      <w:pPr>
        <w:spacing w:after="120"/>
        <w:ind w:firstLine="720"/>
        <w:jc w:val="both"/>
      </w:pPr>
      <w:r>
        <w:rPr>
          <w:rFonts w:ascii="Times New Roman" w:hAnsi="Times New Roman"/>
          <w:b w:val="0"/>
          <w:i w:val="0"/>
          <w:sz w:val="24"/>
        </w:rPr>
        <w:t>The selection of five thinkers is illustrative, not exhaustive [15]; the intellectual landscape of plant breeding is broader and richer than any single review can capture [50,61,79,80,81,83,84,100,104]. The aim is not to construct a closed canon but to demonstrate that reflection on reasoning traditions—not only on methods—is a productive and underutilised exercise for the discipline [42,87].</w:t>
      </w:r>
    </w:p>
    <w:p>
      <w:pPr>
        <w:spacing w:after="120"/>
        <w:ind w:firstLine="720"/>
        <w:jc w:val="both"/>
      </w:pPr>
      <w:r>
        <w:rPr>
          <w:rFonts w:ascii="Times New Roman" w:hAnsi="Times New Roman"/>
          <w:b w:val="0"/>
          <w:i w:val="0"/>
          <w:sz w:val="24"/>
        </w:rPr>
        <w:t>Looking forward, several developments are likely to reshape the intellectual landscape of plant breeding. The integration of artificial intelligence and data science into breeding pipelines will create new prediction tools that must be evaluated against the standards of parsimony (Gauch) [42,44], theoretical consistency (Walsh) [20,89,91], and interpretability (Yan) [22,41]. The growing availability of high-dimensional environmental covariates—including remote sensing, weather modelling, and soil characterisation data—will enable reaction norm and enviromics approaches [46,80,98,100,101,102] that extend GEI analysis beyond the frameworks reviewed here. How emerging tools are integrated into breeding decision systems, and whether they complement or eventually displace the reasoning traditions described in this review, represents a productive area for future scholarly inquiry [104].</w:t>
      </w:r>
    </w:p>
    <w:p>
      <w:pPr>
        <w:spacing w:after="120"/>
        <w:ind w:firstLine="720"/>
        <w:jc w:val="both"/>
      </w:pPr>
      <w:r>
        <w:rPr>
          <w:rFonts w:ascii="Times New Roman" w:hAnsi="Times New Roman"/>
          <w:b w:val="0"/>
          <w:i w:val="0"/>
          <w:sz w:val="24"/>
        </w:rPr>
        <w:t>As plant breeding confronts the demands of genomic data integration, climate adaptation, and global food security [2,4,49,104], the core principles articulated by these five thinkers—predictive accuracy, theoretical rigour, performance reliability, interpretable visualisation, and statistical parsimony—remain foundational [87,88]. Methods will continue to evolve, but the analytical orientations from which they emerge provide the durable intellectual framework within which new methods must be evaluated, applied, and taught [42,63,87]. Plant breeding, at its most rigorous, is not simply a technology but a structured system of reasoning under uncertainty, and the traditions examined here constitute the intellectual grammar of that system [87,88].</w:t>
      </w:r>
    </w:p>
    <w:p>
      <w:pPr>
        <w:spacing w:before="240" w:after="120"/>
      </w:pPr>
      <w:r>
        <w:rPr>
          <w:rFonts w:ascii="Times New Roman" w:hAnsi="Times New Roman"/>
          <w:b w:val="0"/>
          <w:i/>
          <w:sz w:val="20"/>
        </w:rPr>
        <w:t>Figure 1. Intellectual framework of modern plant breeding: five analytical traditions converging on defensible cultivar decision-making. Each tradition—Prediction (Bernardo; genomic BLUP and marker-assisted selection), Theory (Walsh; quantitative genetic mechanisms and variance component analysis), Stability (Kang; yield–stability integration for risk management), Visualisation (Yan; GGE biplot rendering of genotype × environment patterns), and Parsimony (Gauch; AMMI signal-extraction and cross-validation)—contributes a distinct analytical function to the central task of breeding decision-making, indicated by solid convergent arrows. Dashed lines represent three productive differences in analytical priority: (1) the empirical–mechanistic divide; (2) the stability–adaptation trade-off; and (3) the visualisation–parsimony distinction. A complete breeding decision framework draws on all five traditions, allocating analytical priority according to the decision context. [Figure to be prepared by the author and submitted as a separate file in accordance with journal guidelines.]</w:t>
      </w:r>
    </w:p>
    <w:p/>
    <w:p>
      <w:pPr>
        <w:spacing w:after="120"/>
        <w:ind w:firstLine="720"/>
        <w:jc w:val="both"/>
      </w:pPr>
      <w:r>
        <w:rPr>
          <w:rFonts w:ascii="Times New Roman" w:hAnsi="Times New Roman"/>
          <w:b w:val="0"/>
          <w:i w:val="0"/>
          <w:sz w:val="24"/>
        </w:rPr>
        <w:t>Author Contribution / CRediT Author Statement</w:t>
        <w:br/>
        <w:t>L. S. Fayeun: Conceptualization; Methodology; Investigation; Writing – Original Draft; Writing – Review and Editing.</w:t>
      </w:r>
    </w:p>
    <w:p>
      <w:pPr>
        <w:spacing w:after="120"/>
        <w:ind w:firstLine="720"/>
        <w:jc w:val="both"/>
      </w:pPr>
      <w:r>
        <w:rPr>
          <w:rFonts w:ascii="Times New Roman" w:hAnsi="Times New Roman"/>
          <w:b w:val="0"/>
          <w:i w:val="0"/>
          <w:sz w:val="24"/>
        </w:rPr>
        <w:t>Consent for Publication: Not applicable.</w:t>
      </w:r>
    </w:p>
    <w:p>
      <w:pPr>
        <w:spacing w:after="120"/>
        <w:ind w:firstLine="720"/>
        <w:jc w:val="both"/>
      </w:pPr>
      <w:r>
        <w:rPr>
          <w:rFonts w:ascii="Times New Roman" w:hAnsi="Times New Roman"/>
          <w:b w:val="0"/>
          <w:i w:val="0"/>
          <w:sz w:val="24"/>
        </w:rPr>
        <w:t>Availability of Data and Materials: Not applicable. This is a conceptual review article; no primary datasets were generated or analysed.</w:t>
      </w:r>
    </w:p>
    <w:p>
      <w:pPr>
        <w:spacing w:after="120"/>
        <w:ind w:firstLine="720"/>
        <w:jc w:val="both"/>
      </w:pPr>
      <w:r>
        <w:rPr>
          <w:rFonts w:ascii="Times New Roman" w:hAnsi="Times New Roman"/>
          <w:b w:val="0"/>
          <w:i w:val="0"/>
          <w:sz w:val="24"/>
        </w:rPr>
        <w:t>Funding: This research received no specific grant from any funding agency in the public, commercial, or not-for-profit sectors.</w:t>
      </w:r>
    </w:p>
    <w:p>
      <w:pPr>
        <w:spacing w:after="120"/>
        <w:ind w:firstLine="720"/>
        <w:jc w:val="both"/>
      </w:pPr>
      <w:r>
        <w:rPr>
          <w:rFonts w:ascii="Times New Roman" w:hAnsi="Times New Roman"/>
          <w:b w:val="0"/>
          <w:i w:val="0"/>
          <w:sz w:val="24"/>
        </w:rPr>
        <w:t>Conflict of Interest: The author declares no conflict of interest.</w:t>
      </w:r>
    </w:p>
    <w:p>
      <w:pPr>
        <w:spacing w:after="120"/>
        <w:ind w:firstLine="720"/>
        <w:jc w:val="both"/>
      </w:pPr>
      <w:r>
        <w:rPr>
          <w:rFonts w:ascii="Times New Roman" w:hAnsi="Times New Roman"/>
          <w:b w:val="0"/>
          <w:i w:val="0"/>
          <w:sz w:val="24"/>
        </w:rPr>
        <w:t>Acknowledgements: Declared None.</w:t>
      </w:r>
    </w:p>
    <w:p/>
    <w:p>
      <w:pPr>
        <w:spacing w:before="240" w:after="160"/>
        <w:jc w:val="left"/>
      </w:pPr>
      <w:r>
        <w:rPr>
          <w:rFonts w:ascii="Times New Roman" w:hAnsi="Times New Roman"/>
          <w:b/>
          <w:i w:val="0"/>
          <w:sz w:val="26"/>
        </w:rPr>
        <w:t>References</w:t>
      </w:r>
    </w:p>
    <w:p>
      <w:pPr>
        <w:spacing w:after="80"/>
        <w:ind w:left="720" w:hanging="720"/>
      </w:pPr>
      <w:r>
        <w:rPr>
          <w:rFonts w:ascii="Times New Roman" w:hAnsi="Times New Roman"/>
          <w:b w:val="0"/>
          <w:i w:val="0"/>
          <w:sz w:val="22"/>
        </w:rPr>
        <w:t>[1]</w:t>
        <w:tab/>
        <w:t>Bernardo R. Breeding for quantitative traits in plants. Stemma Press; 2002.</w:t>
      </w:r>
    </w:p>
    <w:p>
      <w:pPr>
        <w:spacing w:after="80"/>
        <w:ind w:left="720" w:hanging="720"/>
      </w:pPr>
      <w:r>
        <w:rPr>
          <w:rFonts w:ascii="Times New Roman" w:hAnsi="Times New Roman"/>
          <w:b w:val="0"/>
          <w:i w:val="0"/>
          <w:sz w:val="22"/>
        </w:rPr>
        <w:t>[2]</w:t>
        <w:tab/>
        <w:t>Atlin GN, Cairns JE, Das B. Rapid breeding and varietal replacement are critical to adaptation of cropping systems in the developing world to climate change. Glob Food Secur. 2017;12:31–37.</w:t>
      </w:r>
    </w:p>
    <w:p>
      <w:pPr>
        <w:spacing w:after="80"/>
        <w:ind w:left="720" w:hanging="720"/>
      </w:pPr>
      <w:r>
        <w:rPr>
          <w:rFonts w:ascii="Times New Roman" w:hAnsi="Times New Roman"/>
          <w:b w:val="0"/>
          <w:i w:val="0"/>
          <w:sz w:val="22"/>
        </w:rPr>
        <w:t>[3]</w:t>
        <w:tab/>
        <w:t>Bernardo R. Breeding for quantitative traits in plants. 3rd ed. Stemma Press; 2020.</w:t>
      </w:r>
    </w:p>
    <w:p>
      <w:pPr>
        <w:spacing w:after="80"/>
        <w:ind w:left="720" w:hanging="720"/>
      </w:pPr>
      <w:r>
        <w:rPr>
          <w:rFonts w:ascii="Times New Roman" w:hAnsi="Times New Roman"/>
          <w:b w:val="0"/>
          <w:i w:val="0"/>
          <w:sz w:val="22"/>
        </w:rPr>
        <w:t>[4]</w:t>
        <w:tab/>
        <w:t>Crossa J, Pérez-Rodríguez P, Cuevas J, Montesinos-López O, Jarquín D, de los Campos G, et al. Genomic selection in plant breeding: methods, models, and perspectives. Trends Plant Sci. 2017;22(11):961–975.</w:t>
      </w:r>
    </w:p>
    <w:p>
      <w:pPr>
        <w:spacing w:after="80"/>
        <w:ind w:left="720" w:hanging="720"/>
      </w:pPr>
      <w:r>
        <w:rPr>
          <w:rFonts w:ascii="Times New Roman" w:hAnsi="Times New Roman"/>
          <w:b w:val="0"/>
          <w:i w:val="0"/>
          <w:sz w:val="22"/>
        </w:rPr>
        <w:t>[5]</w:t>
        <w:tab/>
        <w:t>Heffner EL, Sorrells ME, Jannink JL. Genomic selection for crop improvement. Crop Sci. 2009;49(1):1–12.</w:t>
      </w:r>
    </w:p>
    <w:p>
      <w:pPr>
        <w:spacing w:after="80"/>
        <w:ind w:left="720" w:hanging="720"/>
      </w:pPr>
      <w:r>
        <w:rPr>
          <w:rFonts w:ascii="Times New Roman" w:hAnsi="Times New Roman"/>
          <w:b w:val="0"/>
          <w:i w:val="0"/>
          <w:sz w:val="22"/>
        </w:rPr>
        <w:t>[6]</w:t>
        <w:tab/>
        <w:t>Yan W, Kang MS, Ma B, Woods S, Cornelius PL. GGE biplot vs. AMMI analysis of genotype-by-environment data. Crop Sci. 2007;47(2):643–653.</w:t>
      </w:r>
    </w:p>
    <w:p>
      <w:pPr>
        <w:spacing w:after="80"/>
        <w:ind w:left="720" w:hanging="720"/>
      </w:pPr>
      <w:r>
        <w:rPr>
          <w:rFonts w:ascii="Times New Roman" w:hAnsi="Times New Roman"/>
          <w:b w:val="0"/>
          <w:i w:val="0"/>
          <w:sz w:val="22"/>
        </w:rPr>
        <w:t>[7]</w:t>
        <w:tab/>
        <w:t>Gauch HG. Statistical analysis of yield trials by AMMI and GGE. Crop Sci. 2006;46(4):1488–1500.</w:t>
      </w:r>
    </w:p>
    <w:p>
      <w:pPr>
        <w:spacing w:after="80"/>
        <w:ind w:left="720" w:hanging="720"/>
      </w:pPr>
      <w:r>
        <w:rPr>
          <w:rFonts w:ascii="Times New Roman" w:hAnsi="Times New Roman"/>
          <w:b w:val="0"/>
          <w:i w:val="0"/>
          <w:sz w:val="22"/>
        </w:rPr>
        <w:t>[8]</w:t>
        <w:tab/>
        <w:t>Fisher RA. The correlation between relatives on the supposition of Mendelian inheritance. Trans R Soc Edinb. 1918;52(2):399–433.</w:t>
      </w:r>
    </w:p>
    <w:p>
      <w:pPr>
        <w:spacing w:after="80"/>
        <w:ind w:left="720" w:hanging="720"/>
      </w:pPr>
      <w:r>
        <w:rPr>
          <w:rFonts w:ascii="Times New Roman" w:hAnsi="Times New Roman"/>
          <w:b w:val="0"/>
          <w:i w:val="0"/>
          <w:sz w:val="22"/>
        </w:rPr>
        <w:t>[9]</w:t>
        <w:tab/>
        <w:t>Wright S. Evolution in Mendelian populations. Genetics. 1931;16(2):97–159.</w:t>
      </w:r>
    </w:p>
    <w:p>
      <w:pPr>
        <w:spacing w:after="80"/>
        <w:ind w:left="720" w:hanging="720"/>
      </w:pPr>
      <w:r>
        <w:rPr>
          <w:rFonts w:ascii="Times New Roman" w:hAnsi="Times New Roman"/>
          <w:b w:val="0"/>
          <w:i w:val="0"/>
          <w:sz w:val="22"/>
        </w:rPr>
        <w:t>[10]</w:t>
        <w:tab/>
        <w:t>Finlay KW, Wilkinson GN. The analysis of adaptation in a plant-breeding programme. Aust J Agric Res. 1963;14(6):742–754.</w:t>
      </w:r>
    </w:p>
    <w:p>
      <w:pPr>
        <w:spacing w:after="80"/>
        <w:ind w:left="720" w:hanging="720"/>
      </w:pPr>
      <w:r>
        <w:rPr>
          <w:rFonts w:ascii="Times New Roman" w:hAnsi="Times New Roman"/>
          <w:b w:val="0"/>
          <w:i w:val="0"/>
          <w:sz w:val="22"/>
        </w:rPr>
        <w:t>[11]</w:t>
        <w:tab/>
        <w:t>Shukla GK. Some statistical aspects of partitioning genotype-environmental components of variability. Heredity. 1972;29(2):237–245.</w:t>
      </w:r>
    </w:p>
    <w:p>
      <w:pPr>
        <w:spacing w:after="80"/>
        <w:ind w:left="720" w:hanging="720"/>
      </w:pPr>
      <w:r>
        <w:rPr>
          <w:rFonts w:ascii="Times New Roman" w:hAnsi="Times New Roman"/>
          <w:b w:val="0"/>
          <w:i w:val="0"/>
          <w:sz w:val="22"/>
        </w:rPr>
        <w:t>[12]</w:t>
        <w:tab/>
        <w:t>Mandel J. A new analysis of variance model for non-additive data. Technometrics. 1971;13(1):1–18.</w:t>
      </w:r>
    </w:p>
    <w:p>
      <w:pPr>
        <w:spacing w:after="80"/>
        <w:ind w:left="720" w:hanging="720"/>
      </w:pPr>
      <w:r>
        <w:rPr>
          <w:rFonts w:ascii="Times New Roman" w:hAnsi="Times New Roman"/>
          <w:b w:val="0"/>
          <w:i w:val="0"/>
          <w:sz w:val="22"/>
        </w:rPr>
        <w:t>[13]</w:t>
        <w:tab/>
        <w:t>Henderson CR. Best linear unbiased estimation and prediction under a selection model. Biometrics. 1975;31(2):423–447.</w:t>
      </w:r>
    </w:p>
    <w:p>
      <w:pPr>
        <w:spacing w:after="80"/>
        <w:ind w:left="720" w:hanging="720"/>
      </w:pPr>
      <w:r>
        <w:rPr>
          <w:rFonts w:ascii="Times New Roman" w:hAnsi="Times New Roman"/>
          <w:b w:val="0"/>
          <w:i w:val="0"/>
          <w:sz w:val="22"/>
        </w:rPr>
        <w:t>[14]</w:t>
        <w:tab/>
        <w:t>Meuwissen THE, Hayes BJ, Goddard ME. Prediction of total genetic value using genome-wide dense marker maps. Genetics. 2001;157(4):1819–1829.</w:t>
      </w:r>
    </w:p>
    <w:p>
      <w:pPr>
        <w:spacing w:after="80"/>
        <w:ind w:left="720" w:hanging="720"/>
      </w:pPr>
      <w:r>
        <w:rPr>
          <w:rFonts w:ascii="Times New Roman" w:hAnsi="Times New Roman"/>
          <w:b w:val="0"/>
          <w:i w:val="0"/>
          <w:sz w:val="22"/>
        </w:rPr>
        <w:t>[15]</w:t>
        <w:tab/>
        <w:t>Grant MJ, Booth A. A typology of reviews: an analysis of 14 review types and associated methodologies. Health Inf Libr J. 2009;26(2):91–108.</w:t>
      </w:r>
    </w:p>
    <w:p>
      <w:pPr>
        <w:spacing w:after="80"/>
        <w:ind w:left="720" w:hanging="720"/>
      </w:pPr>
      <w:r>
        <w:rPr>
          <w:rFonts w:ascii="Times New Roman" w:hAnsi="Times New Roman"/>
          <w:b w:val="0"/>
          <w:i w:val="0"/>
          <w:sz w:val="22"/>
        </w:rPr>
        <w:t>[16]</w:t>
        <w:tab/>
        <w:t>Bernardo R. Prediction of maize single-cross performance using RFLPs and information from related hybrids. Crop Sci. 1994;34(1):20–25.</w:t>
      </w:r>
    </w:p>
    <w:p>
      <w:pPr>
        <w:spacing w:after="80"/>
        <w:ind w:left="720" w:hanging="720"/>
      </w:pPr>
      <w:r>
        <w:rPr>
          <w:rFonts w:ascii="Times New Roman" w:hAnsi="Times New Roman"/>
          <w:b w:val="0"/>
          <w:i w:val="0"/>
          <w:sz w:val="22"/>
        </w:rPr>
        <w:t>[17]</w:t>
        <w:tab/>
        <w:t>Bernardo R. Best linear unbiased prediction of maize single-cross performance. Crop Sci. 1996;36(1):50–56.</w:t>
      </w:r>
    </w:p>
    <w:p>
      <w:pPr>
        <w:spacing w:after="80"/>
        <w:ind w:left="720" w:hanging="720"/>
      </w:pPr>
      <w:r>
        <w:rPr>
          <w:rFonts w:ascii="Times New Roman" w:hAnsi="Times New Roman"/>
          <w:b w:val="0"/>
          <w:i w:val="0"/>
          <w:sz w:val="22"/>
        </w:rPr>
        <w:t>[18]</w:t>
        <w:tab/>
        <w:t>Bernardo R, Yu J. Prospects for genomewide selection for quantitative traits in maize. Crop Sci. 2007;47(3):1082–1090.</w:t>
      </w:r>
    </w:p>
    <w:p>
      <w:pPr>
        <w:spacing w:after="80"/>
        <w:ind w:left="720" w:hanging="720"/>
      </w:pPr>
      <w:r>
        <w:rPr>
          <w:rFonts w:ascii="Times New Roman" w:hAnsi="Times New Roman"/>
          <w:b w:val="0"/>
          <w:i w:val="0"/>
          <w:sz w:val="22"/>
        </w:rPr>
        <w:t>[19]</w:t>
        <w:tab/>
        <w:t>Lynch M, Walsh B. Genetics and analysis of quantitative traits. Sinauer Associates; 1998.</w:t>
      </w:r>
    </w:p>
    <w:p>
      <w:pPr>
        <w:spacing w:after="80"/>
        <w:ind w:left="720" w:hanging="720"/>
      </w:pPr>
      <w:r>
        <w:rPr>
          <w:rFonts w:ascii="Times New Roman" w:hAnsi="Times New Roman"/>
          <w:b w:val="0"/>
          <w:i w:val="0"/>
          <w:sz w:val="22"/>
        </w:rPr>
        <w:t>[20]</w:t>
        <w:tab/>
        <w:t>Walsh B, Lynch M. Evolution and selection of quantitative traits. Oxford University Press; 2018.</w:t>
      </w:r>
    </w:p>
    <w:p>
      <w:pPr>
        <w:spacing w:after="80"/>
        <w:ind w:left="720" w:hanging="720"/>
      </w:pPr>
      <w:r>
        <w:rPr>
          <w:rFonts w:ascii="Times New Roman" w:hAnsi="Times New Roman"/>
          <w:b w:val="0"/>
          <w:i w:val="0"/>
          <w:sz w:val="22"/>
        </w:rPr>
        <w:t>[21]</w:t>
        <w:tab/>
        <w:t>Kang MS. A rank-sum method for selecting high-yielding, stable corn genotypes. Cereal Res Commun. 1988;16:113–115.</w:t>
      </w:r>
    </w:p>
    <w:p>
      <w:pPr>
        <w:spacing w:after="80"/>
        <w:ind w:left="720" w:hanging="720"/>
      </w:pPr>
      <w:r>
        <w:rPr>
          <w:rFonts w:ascii="Times New Roman" w:hAnsi="Times New Roman"/>
          <w:b w:val="0"/>
          <w:i w:val="0"/>
          <w:sz w:val="22"/>
        </w:rPr>
        <w:t>[22]</w:t>
        <w:tab/>
        <w:t>Yan W, Hunt LA, Sheng Q, Szlavnics Z. Cultivar evaluation and mega-environment investigation based on the GGE biplot. Crop Sci. 2000;40(3):597–605.</w:t>
      </w:r>
    </w:p>
    <w:p>
      <w:pPr>
        <w:spacing w:after="80"/>
        <w:ind w:left="720" w:hanging="720"/>
      </w:pPr>
      <w:r>
        <w:rPr>
          <w:rFonts w:ascii="Times New Roman" w:hAnsi="Times New Roman"/>
          <w:b w:val="0"/>
          <w:i w:val="0"/>
          <w:sz w:val="22"/>
        </w:rPr>
        <w:t>[23]</w:t>
        <w:tab/>
        <w:t>Yan W. GGEbiplot—a Windows application for graphical analysis of multienvironment trial data and other types of two-way data. Agron J. 2001;93(5):1111–1118.</w:t>
      </w:r>
    </w:p>
    <w:p>
      <w:pPr>
        <w:spacing w:after="80"/>
        <w:ind w:left="720" w:hanging="720"/>
      </w:pPr>
      <w:r>
        <w:rPr>
          <w:rFonts w:ascii="Times New Roman" w:hAnsi="Times New Roman"/>
          <w:b w:val="0"/>
          <w:i w:val="0"/>
          <w:sz w:val="22"/>
        </w:rPr>
        <w:t>[24]</w:t>
        <w:tab/>
        <w:t>Gauch HG. Model selection and validation for yield trials with interaction. Biometrics. 1988;44(3):705–715.</w:t>
      </w:r>
    </w:p>
    <w:p>
      <w:pPr>
        <w:spacing w:after="80"/>
        <w:ind w:left="720" w:hanging="720"/>
      </w:pPr>
      <w:r>
        <w:rPr>
          <w:rFonts w:ascii="Times New Roman" w:hAnsi="Times New Roman"/>
          <w:b w:val="0"/>
          <w:i w:val="0"/>
          <w:sz w:val="22"/>
        </w:rPr>
        <w:t>[25]</w:t>
        <w:tab/>
        <w:t>Gauch HG. Statistical analysis of regional yield trials: AMMI analysis of factorial designs. Elsevier; 1992.</w:t>
      </w:r>
    </w:p>
    <w:p>
      <w:pPr>
        <w:spacing w:after="80"/>
        <w:ind w:left="720" w:hanging="720"/>
      </w:pPr>
      <w:r>
        <w:rPr>
          <w:rFonts w:ascii="Times New Roman" w:hAnsi="Times New Roman"/>
          <w:b w:val="0"/>
          <w:i w:val="0"/>
          <w:sz w:val="22"/>
        </w:rPr>
        <w:t>[26]</w:t>
        <w:tab/>
        <w:t>Falconer DS. Introduction to quantitative genetics. Oliver and Boyd; 1960.</w:t>
      </w:r>
    </w:p>
    <w:p>
      <w:pPr>
        <w:spacing w:after="80"/>
        <w:ind w:left="720" w:hanging="720"/>
      </w:pPr>
      <w:r>
        <w:rPr>
          <w:rFonts w:ascii="Times New Roman" w:hAnsi="Times New Roman"/>
          <w:b w:val="0"/>
          <w:i w:val="0"/>
          <w:sz w:val="22"/>
        </w:rPr>
        <w:t>[27]</w:t>
        <w:tab/>
        <w:t>Eberhart SA, Russell WA. Stability parameters for comparing varieties. Crop Sci. 1966;6(1):36–40.</w:t>
      </w:r>
    </w:p>
    <w:p>
      <w:pPr>
        <w:spacing w:after="80"/>
        <w:ind w:left="720" w:hanging="720"/>
      </w:pPr>
      <w:r>
        <w:rPr>
          <w:rFonts w:ascii="Times New Roman" w:hAnsi="Times New Roman"/>
          <w:b w:val="0"/>
          <w:i w:val="0"/>
          <w:sz w:val="22"/>
        </w:rPr>
        <w:t>[28]</w:t>
        <w:tab/>
        <w:t>Kang MS. Simultaneous selection for yield and stability in crop performance trials: consequences for growers. Agron J. 1993;85(3):754–757.</w:t>
      </w:r>
    </w:p>
    <w:p>
      <w:pPr>
        <w:spacing w:after="80"/>
        <w:ind w:left="720" w:hanging="720"/>
      </w:pPr>
      <w:r>
        <w:rPr>
          <w:rFonts w:ascii="Times New Roman" w:hAnsi="Times New Roman"/>
          <w:b w:val="0"/>
          <w:i w:val="0"/>
          <w:sz w:val="22"/>
        </w:rPr>
        <w:t>[29]</w:t>
        <w:tab/>
        <w:t>Bernardo R. Molecular markers and selection for complex traits in plants: learning from the last 20 years. Crop Sci. 2008;48(5):1649–1664.</w:t>
      </w:r>
    </w:p>
    <w:p>
      <w:pPr>
        <w:spacing w:after="80"/>
        <w:ind w:left="720" w:hanging="720"/>
      </w:pPr>
      <w:r>
        <w:rPr>
          <w:rFonts w:ascii="Times New Roman" w:hAnsi="Times New Roman"/>
          <w:b w:val="0"/>
          <w:i w:val="0"/>
          <w:sz w:val="22"/>
        </w:rPr>
        <w:t>[30]</w:t>
        <w:tab/>
        <w:t>Bernardo R. Bandwagons I, too, have known. Theor Appl Genet. 2016;129(12):2323–2332.</w:t>
      </w:r>
    </w:p>
    <w:p>
      <w:pPr>
        <w:spacing w:after="80"/>
        <w:ind w:left="720" w:hanging="720"/>
      </w:pPr>
      <w:r>
        <w:rPr>
          <w:rFonts w:ascii="Times New Roman" w:hAnsi="Times New Roman"/>
          <w:b w:val="0"/>
          <w:i w:val="0"/>
          <w:sz w:val="22"/>
        </w:rPr>
        <w:t>[31]</w:t>
        <w:tab/>
        <w:t>Bernardo R. Genomewide selection when major genes are known. Crop Sci. 2014;54(1):68–75.</w:t>
      </w:r>
    </w:p>
    <w:p>
      <w:pPr>
        <w:spacing w:after="80"/>
        <w:ind w:left="720" w:hanging="720"/>
      </w:pPr>
      <w:r>
        <w:rPr>
          <w:rFonts w:ascii="Times New Roman" w:hAnsi="Times New Roman"/>
          <w:b w:val="0"/>
          <w:i w:val="0"/>
          <w:sz w:val="22"/>
        </w:rPr>
        <w:t>[32]</w:t>
        <w:tab/>
        <w:t>Lush JL. Animal breeding plans. Iowa State College Press; 1937.</w:t>
      </w:r>
    </w:p>
    <w:p>
      <w:pPr>
        <w:spacing w:after="80"/>
        <w:ind w:left="720" w:hanging="720"/>
      </w:pPr>
      <w:r>
        <w:rPr>
          <w:rFonts w:ascii="Times New Roman" w:hAnsi="Times New Roman"/>
          <w:b w:val="0"/>
          <w:i w:val="0"/>
          <w:sz w:val="22"/>
        </w:rPr>
        <w:t>[33]</w:t>
        <w:tab/>
        <w:t>Hill WG, Kirkpatrick M. What animal breeding has taught us about evolution. Annu Rev Ecol Evol Syst. 2010;41:1–19.</w:t>
      </w:r>
    </w:p>
    <w:p>
      <w:pPr>
        <w:spacing w:after="80"/>
        <w:ind w:left="720" w:hanging="720"/>
      </w:pPr>
      <w:r>
        <w:rPr>
          <w:rFonts w:ascii="Times New Roman" w:hAnsi="Times New Roman"/>
          <w:b w:val="0"/>
          <w:i w:val="0"/>
          <w:sz w:val="22"/>
        </w:rPr>
        <w:t>[34]</w:t>
        <w:tab/>
        <w:t>Lin CS, Binns MR, Lefkovitch LP. Stability analysis: where do we stand? Crop Sci. 1986;26(5):894–900.</w:t>
      </w:r>
    </w:p>
    <w:p>
      <w:pPr>
        <w:spacing w:after="80"/>
        <w:ind w:left="720" w:hanging="720"/>
      </w:pPr>
      <w:r>
        <w:rPr>
          <w:rFonts w:ascii="Times New Roman" w:hAnsi="Times New Roman"/>
          <w:b w:val="0"/>
          <w:i w:val="0"/>
          <w:sz w:val="22"/>
        </w:rPr>
        <w:t>[35]</w:t>
        <w:tab/>
        <w:t>Kang MS. Using genotype-by-environment interaction for crop cultivar development. Adv Agron. 1998;62:199–252.</w:t>
      </w:r>
    </w:p>
    <w:p>
      <w:pPr>
        <w:spacing w:after="80"/>
        <w:ind w:left="720" w:hanging="720"/>
      </w:pPr>
      <w:r>
        <w:rPr>
          <w:rFonts w:ascii="Times New Roman" w:hAnsi="Times New Roman"/>
          <w:b w:val="0"/>
          <w:i w:val="0"/>
          <w:sz w:val="22"/>
        </w:rPr>
        <w:t>[36]</w:t>
        <w:tab/>
        <w:t>Kang MS, Gauch HG, editors. Genotype-by-environment interaction. CRC Press; 1996.</w:t>
      </w:r>
    </w:p>
    <w:p>
      <w:pPr>
        <w:spacing w:after="80"/>
        <w:ind w:left="720" w:hanging="720"/>
      </w:pPr>
      <w:r>
        <w:rPr>
          <w:rFonts w:ascii="Times New Roman" w:hAnsi="Times New Roman"/>
          <w:b w:val="0"/>
          <w:i w:val="0"/>
          <w:sz w:val="22"/>
        </w:rPr>
        <w:t>[37]</w:t>
        <w:tab/>
        <w:t>Kang MS, editor. Quantitative genetics, genomics, and plant breeding. CABI Publishing; 2002.</w:t>
      </w:r>
    </w:p>
    <w:p>
      <w:pPr>
        <w:spacing w:after="80"/>
        <w:ind w:left="720" w:hanging="720"/>
      </w:pPr>
      <w:r>
        <w:rPr>
          <w:rFonts w:ascii="Times New Roman" w:hAnsi="Times New Roman"/>
          <w:b w:val="0"/>
          <w:i w:val="0"/>
          <w:sz w:val="22"/>
        </w:rPr>
        <w:t>[38]</w:t>
        <w:tab/>
        <w:t>Fayeun LS, Olatunji OM, Makinde SCO, Akinpelu OA. Genotype × environment interaction and stability of vegetable cowpea [Vigna unguiculata (L.) Walp.] genotypes for green pod yield in southwestern Nigeria. J Plant Breed Crop Sci. 2015;7(8):228–235.</w:t>
      </w:r>
    </w:p>
    <w:p>
      <w:pPr>
        <w:spacing w:after="80"/>
        <w:ind w:left="720" w:hanging="720"/>
      </w:pPr>
      <w:r>
        <w:rPr>
          <w:rFonts w:ascii="Times New Roman" w:hAnsi="Times New Roman"/>
          <w:b w:val="0"/>
          <w:i w:val="0"/>
          <w:sz w:val="22"/>
        </w:rPr>
        <w:t>[39]</w:t>
        <w:tab/>
        <w:t>Gauch HG, Piepho HP, Annicchiarico P. Statistical analysis of yield trials by AMMI and GGE: further considerations. Crop Sci. 2008;48(3):866–889.</w:t>
      </w:r>
    </w:p>
    <w:p>
      <w:pPr>
        <w:spacing w:after="80"/>
        <w:ind w:left="720" w:hanging="720"/>
      </w:pPr>
      <w:r>
        <w:rPr>
          <w:rFonts w:ascii="Times New Roman" w:hAnsi="Times New Roman"/>
          <w:b w:val="0"/>
          <w:i w:val="0"/>
          <w:sz w:val="22"/>
        </w:rPr>
        <w:t>[40]</w:t>
        <w:tab/>
        <w:t>Yan W, Tinker NA. Biplot analysis of multi-environment trial data: principles and applications. Can J Plant Sci. 2006;86(3):623–645.</w:t>
      </w:r>
    </w:p>
    <w:p>
      <w:pPr>
        <w:spacing w:after="80"/>
        <w:ind w:left="720" w:hanging="720"/>
      </w:pPr>
      <w:r>
        <w:rPr>
          <w:rFonts w:ascii="Times New Roman" w:hAnsi="Times New Roman"/>
          <w:b w:val="0"/>
          <w:i w:val="0"/>
          <w:sz w:val="22"/>
        </w:rPr>
        <w:t>[41]</w:t>
        <w:tab/>
        <w:t>Yan W, Kang MS. GGE biplot analysis: a graphical tool for breeders, geneticists, and agronomists. CRC Press; 2002.</w:t>
      </w:r>
    </w:p>
    <w:p>
      <w:pPr>
        <w:spacing w:after="80"/>
        <w:ind w:left="720" w:hanging="720"/>
      </w:pPr>
      <w:r>
        <w:rPr>
          <w:rFonts w:ascii="Times New Roman" w:hAnsi="Times New Roman"/>
          <w:b w:val="0"/>
          <w:i w:val="0"/>
          <w:sz w:val="22"/>
        </w:rPr>
        <w:t>[42]</w:t>
        <w:tab/>
        <w:t>Gauch HG. Scientific method in practice. Cambridge University Press; 2003.</w:t>
      </w:r>
    </w:p>
    <w:p>
      <w:pPr>
        <w:spacing w:after="80"/>
        <w:ind w:left="720" w:hanging="720"/>
      </w:pPr>
      <w:r>
        <w:rPr>
          <w:rFonts w:ascii="Times New Roman" w:hAnsi="Times New Roman"/>
          <w:b w:val="0"/>
          <w:i w:val="0"/>
          <w:sz w:val="22"/>
        </w:rPr>
        <w:t>[43]</w:t>
        <w:tab/>
        <w:t>Gauch HG, Zobel RW. Identifying mega-environments and targeting genotypes. Crop Sci. 1997;37(2):311–326.</w:t>
      </w:r>
    </w:p>
    <w:p>
      <w:pPr>
        <w:spacing w:after="80"/>
        <w:ind w:left="720" w:hanging="720"/>
      </w:pPr>
      <w:r>
        <w:rPr>
          <w:rFonts w:ascii="Times New Roman" w:hAnsi="Times New Roman"/>
          <w:b w:val="0"/>
          <w:i w:val="0"/>
          <w:sz w:val="22"/>
        </w:rPr>
        <w:t>[44]</w:t>
        <w:tab/>
        <w:t>Gauch HG. A simple protocol for AMMI analysis of yield trials. Crop Sci. 2013;53(5):1860–1869.</w:t>
      </w:r>
    </w:p>
    <w:p>
      <w:pPr>
        <w:spacing w:after="80"/>
        <w:ind w:left="720" w:hanging="720"/>
      </w:pPr>
      <w:r>
        <w:rPr>
          <w:rFonts w:ascii="Times New Roman" w:hAnsi="Times New Roman"/>
          <w:b w:val="0"/>
          <w:i w:val="0"/>
          <w:sz w:val="22"/>
        </w:rPr>
        <w:t>[45]</w:t>
        <w:tab/>
        <w:t>Burgueño J, de los Campos G, Weigel K, Crossa J. Genomic prediction of breeding values when modeling genotype × environment interaction using pedigree and dense molecular markers. Crop Sci. 2012;52(2):707–719.</w:t>
      </w:r>
    </w:p>
    <w:p>
      <w:pPr>
        <w:spacing w:after="80"/>
        <w:ind w:left="720" w:hanging="720"/>
      </w:pPr>
      <w:r>
        <w:rPr>
          <w:rFonts w:ascii="Times New Roman" w:hAnsi="Times New Roman"/>
          <w:b w:val="0"/>
          <w:i w:val="0"/>
          <w:sz w:val="22"/>
        </w:rPr>
        <w:t>[46]</w:t>
        <w:tab/>
        <w:t>Jarquín D, Crossa J, Lacaze X, Du Cheyron P, Daucourt J, Lorgeou J, et al. A reaction norm model for genomic selection using high-dimensional genomic and environmental data. Theor Appl Genet. 2014;127(3):595–607.</w:t>
      </w:r>
    </w:p>
    <w:p>
      <w:pPr>
        <w:spacing w:after="80"/>
        <w:ind w:left="720" w:hanging="720"/>
      </w:pPr>
      <w:r>
        <w:rPr>
          <w:rFonts w:ascii="Times New Roman" w:hAnsi="Times New Roman"/>
          <w:b w:val="0"/>
          <w:i w:val="0"/>
          <w:sz w:val="22"/>
        </w:rPr>
        <w:t>[47]</w:t>
        <w:tab/>
        <w:t>Harfouche AL, Jacobson DA, Kainer D, Romero JC, Beber AH, Hsieh P, et al. Accelerating climate resilient plant breeding by applying next-generation artificial intelligence. Trends Biotechnol. 2019;37(11):1217–1235.</w:t>
      </w:r>
    </w:p>
    <w:p>
      <w:pPr>
        <w:spacing w:after="80"/>
        <w:ind w:left="720" w:hanging="720"/>
      </w:pPr>
      <w:r>
        <w:rPr>
          <w:rFonts w:ascii="Times New Roman" w:hAnsi="Times New Roman"/>
          <w:b w:val="0"/>
          <w:i w:val="0"/>
          <w:sz w:val="22"/>
        </w:rPr>
        <w:t>[48]</w:t>
        <w:tab/>
        <w:t>Washburn JD, Burch MB, Franco JAV. Predictive breeding: a practical guide. Curr Protoc. 2020;1(10):e271.</w:t>
      </w:r>
    </w:p>
    <w:p>
      <w:pPr>
        <w:spacing w:after="80"/>
        <w:ind w:left="720" w:hanging="720"/>
      </w:pPr>
      <w:r>
        <w:rPr>
          <w:rFonts w:ascii="Times New Roman" w:hAnsi="Times New Roman"/>
          <w:b w:val="0"/>
          <w:i w:val="0"/>
          <w:sz w:val="22"/>
        </w:rPr>
        <w:t>[49]</w:t>
        <w:tab/>
        <w:t>Cairns JE, Hellin J, Sonder K, Araus JL, MacRobert JF, Thierfelder C, et al. Adapting maize production to climate change in sub-Saharan Africa. Food Secur. 2013;5(3):345–360.</w:t>
      </w:r>
    </w:p>
    <w:p>
      <w:pPr>
        <w:spacing w:after="80"/>
        <w:ind w:left="720" w:hanging="720"/>
      </w:pPr>
      <w:r>
        <w:rPr>
          <w:rFonts w:ascii="Times New Roman" w:hAnsi="Times New Roman"/>
          <w:b w:val="0"/>
          <w:i w:val="0"/>
          <w:sz w:val="22"/>
        </w:rPr>
        <w:t>[50]</w:t>
        <w:tab/>
        <w:t>Piepho HP, Möhring J, Melchinger AE, Büchse A. BLUP for phenotypic selection in plant breeding and variety testing. Euphytica. 2008;161(1–2):209–228.</w:t>
      </w:r>
    </w:p>
    <w:p>
      <w:pPr>
        <w:spacing w:after="80"/>
        <w:ind w:left="720" w:hanging="720"/>
      </w:pPr>
      <w:r>
        <w:rPr>
          <w:rFonts w:ascii="Times New Roman" w:hAnsi="Times New Roman"/>
          <w:b w:val="0"/>
          <w:i w:val="0"/>
          <w:sz w:val="22"/>
        </w:rPr>
        <w:t>[51]</w:t>
        <w:tab/>
        <w:t>VanRaden PM. Efficient methods to compute genomic predictions. J Dairy Sci. 2008;91(11):4414–4423.</w:t>
      </w:r>
    </w:p>
    <w:p>
      <w:pPr>
        <w:spacing w:after="80"/>
        <w:ind w:left="720" w:hanging="720"/>
      </w:pPr>
      <w:r>
        <w:rPr>
          <w:rFonts w:ascii="Times New Roman" w:hAnsi="Times New Roman"/>
          <w:b w:val="0"/>
          <w:i w:val="0"/>
          <w:sz w:val="22"/>
        </w:rPr>
        <w:t>[52]</w:t>
        <w:tab/>
        <w:t>de los Campos G, Hickey JM, Pong-Wong R, Daetwyler HD, Calus MPL. Whole-genome regression and prediction methods applied to plant and animal breeding. Genetics. 2013;193(2):327–345.</w:t>
      </w:r>
    </w:p>
    <w:p>
      <w:pPr>
        <w:spacing w:after="80"/>
        <w:ind w:left="720" w:hanging="720"/>
      </w:pPr>
      <w:r>
        <w:rPr>
          <w:rFonts w:ascii="Times New Roman" w:hAnsi="Times New Roman"/>
          <w:b w:val="0"/>
          <w:i w:val="0"/>
          <w:sz w:val="22"/>
        </w:rPr>
        <w:t>[53]</w:t>
        <w:tab/>
        <w:t>Jannink JL, Lorenz AJ, Iwata H. Genomic selection in plant breeding: from theory to practice. Brief Funct Genomics. 2010;9(2):166–177.</w:t>
      </w:r>
    </w:p>
    <w:p>
      <w:pPr>
        <w:spacing w:after="80"/>
        <w:ind w:left="720" w:hanging="720"/>
      </w:pPr>
      <w:r>
        <w:rPr>
          <w:rFonts w:ascii="Times New Roman" w:hAnsi="Times New Roman"/>
          <w:b w:val="0"/>
          <w:i w:val="0"/>
          <w:sz w:val="22"/>
        </w:rPr>
        <w:t>[54]</w:t>
        <w:tab/>
        <w:t>Daetwyler HD, Pong-Wong R, Villanueva B, Woolliams JA. The impact of genetic architecture on genome-wide evaluation methods. Genetics. 2010;185(3):1021–1031.</w:t>
      </w:r>
    </w:p>
    <w:p>
      <w:pPr>
        <w:spacing w:after="80"/>
        <w:ind w:left="720" w:hanging="720"/>
      </w:pPr>
      <w:r>
        <w:rPr>
          <w:rFonts w:ascii="Times New Roman" w:hAnsi="Times New Roman"/>
          <w:b w:val="0"/>
          <w:i w:val="0"/>
          <w:sz w:val="22"/>
        </w:rPr>
        <w:t>[55]</w:t>
        <w:tab/>
        <w:t>Habier D, Fernando RL, Dekkers JCM. The impact of genetic relationship information on genome-assisted breeding values. Genetics. 2007;177(4):2389–2397.</w:t>
      </w:r>
    </w:p>
    <w:p>
      <w:pPr>
        <w:spacing w:after="80"/>
        <w:ind w:left="720" w:hanging="720"/>
      </w:pPr>
      <w:r>
        <w:rPr>
          <w:rFonts w:ascii="Times New Roman" w:hAnsi="Times New Roman"/>
          <w:b w:val="0"/>
          <w:i w:val="0"/>
          <w:sz w:val="22"/>
        </w:rPr>
        <w:t>[56]</w:t>
        <w:tab/>
        <w:t>Goddard ME, Hayes BJ. Mapping genes for complex traits in domestic animals and their use in animal improvement. Nat Rev Genet. 2009;10(6):381–391.</w:t>
      </w:r>
    </w:p>
    <w:p>
      <w:pPr>
        <w:spacing w:after="80"/>
        <w:ind w:left="720" w:hanging="720"/>
      </w:pPr>
      <w:r>
        <w:rPr>
          <w:rFonts w:ascii="Times New Roman" w:hAnsi="Times New Roman"/>
          <w:b w:val="0"/>
          <w:i w:val="0"/>
          <w:sz w:val="22"/>
        </w:rPr>
        <w:t>[57]</w:t>
        <w:tab/>
        <w:t>Resende MFR Jr, Muñoz P, Acosta JJ, Peter GF, Davis JM, Grattapaglia D, et al. Accelerating the domestication of trees using genomic selection: accuracy of prediction models across ages and environments. New Phytol. 2012;193(3):617–624.</w:t>
      </w:r>
    </w:p>
    <w:p>
      <w:pPr>
        <w:spacing w:after="80"/>
        <w:ind w:left="720" w:hanging="720"/>
      </w:pPr>
      <w:r>
        <w:rPr>
          <w:rFonts w:ascii="Times New Roman" w:hAnsi="Times New Roman"/>
          <w:b w:val="0"/>
          <w:i w:val="0"/>
          <w:sz w:val="22"/>
        </w:rPr>
        <w:t>[58]</w:t>
        <w:tab/>
        <w:t>Endelman JB. Ridge regression and other kernels for genomic selection with R package rrBLUP. Plant Genome. 2011;4(3):250–255.</w:t>
      </w:r>
    </w:p>
    <w:p>
      <w:pPr>
        <w:spacing w:after="80"/>
        <w:ind w:left="720" w:hanging="720"/>
      </w:pPr>
      <w:r>
        <w:rPr>
          <w:rFonts w:ascii="Times New Roman" w:hAnsi="Times New Roman"/>
          <w:b w:val="0"/>
          <w:i w:val="0"/>
          <w:sz w:val="22"/>
        </w:rPr>
        <w:t>[59]</w:t>
        <w:tab/>
        <w:t>Tibshirani R. Regression shrinkage and selection via the lasso. J R Stat Soc Series B. 1996;58(1):267–288.</w:t>
      </w:r>
    </w:p>
    <w:p>
      <w:pPr>
        <w:spacing w:after="80"/>
        <w:ind w:left="720" w:hanging="720"/>
      </w:pPr>
      <w:r>
        <w:rPr>
          <w:rFonts w:ascii="Times New Roman" w:hAnsi="Times New Roman"/>
          <w:b w:val="0"/>
          <w:i w:val="0"/>
          <w:sz w:val="22"/>
        </w:rPr>
        <w:t>[60]</w:t>
        <w:tab/>
        <w:t>Gianola D. Priors in whole-genome regression: the Bayesian alphabet returns. Genetics. 2013;194(3):573–596.</w:t>
      </w:r>
    </w:p>
    <w:p>
      <w:pPr>
        <w:spacing w:after="80"/>
        <w:ind w:left="720" w:hanging="720"/>
      </w:pPr>
      <w:r>
        <w:rPr>
          <w:rFonts w:ascii="Times New Roman" w:hAnsi="Times New Roman"/>
          <w:b w:val="0"/>
          <w:i w:val="0"/>
          <w:sz w:val="22"/>
        </w:rPr>
        <w:t>[61]</w:t>
        <w:tab/>
        <w:t>Piepho HP. Methods for comparing the yield stability of cropping systems: a review. J Agron Crop Sci. 1998;180(4):193–213.</w:t>
      </w:r>
    </w:p>
    <w:p>
      <w:pPr>
        <w:spacing w:after="80"/>
        <w:ind w:left="720" w:hanging="720"/>
      </w:pPr>
      <w:r>
        <w:rPr>
          <w:rFonts w:ascii="Times New Roman" w:hAnsi="Times New Roman"/>
          <w:b w:val="0"/>
          <w:i w:val="0"/>
          <w:sz w:val="22"/>
        </w:rPr>
        <w:t>[62]</w:t>
        <w:tab/>
        <w:t>Purchase JL, Hatting H, van Deventer CS. Genotype × environment interaction of winter wheat (Triticum aestivum L.) in South Africa: II. Stability analysis of yield performance. S Afr J Plant Soil. 2000;17(3):101–107.</w:t>
      </w:r>
    </w:p>
    <w:p>
      <w:pPr>
        <w:spacing w:after="80"/>
        <w:ind w:left="720" w:hanging="720"/>
      </w:pPr>
      <w:r>
        <w:rPr>
          <w:rFonts w:ascii="Times New Roman" w:hAnsi="Times New Roman"/>
          <w:b w:val="0"/>
          <w:i w:val="0"/>
          <w:sz w:val="22"/>
        </w:rPr>
        <w:t>[63]</w:t>
        <w:tab/>
        <w:t>Annicchiarico P. Genotype × environment interactions: challenges and opportunities for plant breeding and cultivar recommendations. FAO Plant Production and Protection Paper 174. Rome: FAO; 2002.</w:t>
      </w:r>
    </w:p>
    <w:p>
      <w:pPr>
        <w:spacing w:after="80"/>
        <w:ind w:left="720" w:hanging="720"/>
      </w:pPr>
      <w:r>
        <w:rPr>
          <w:rFonts w:ascii="Times New Roman" w:hAnsi="Times New Roman"/>
          <w:b w:val="0"/>
          <w:i w:val="0"/>
          <w:sz w:val="22"/>
        </w:rPr>
        <w:t>[64]</w:t>
        <w:tab/>
        <w:t>Rao AR, Prabhakaran VT. Use of AMMI in simultaneous selection of genotypes for yield and stability. J Indian Soc Agric Stat. 2005;59:76–82.</w:t>
      </w:r>
    </w:p>
    <w:p>
      <w:pPr>
        <w:spacing w:after="80"/>
        <w:ind w:left="720" w:hanging="720"/>
      </w:pPr>
      <w:r>
        <w:rPr>
          <w:rFonts w:ascii="Times New Roman" w:hAnsi="Times New Roman"/>
          <w:b w:val="0"/>
          <w:i w:val="0"/>
          <w:sz w:val="22"/>
        </w:rPr>
        <w:t>[65]</w:t>
        <w:tab/>
        <w:t>Nachit MM, Nachit G, Ketata H, Gauch HG, Zobel RW. Use of AMMI and linear regression models to analyze genotype-environment interaction in durum wheat. Theor Appl Genet. 1992;83(5):597–601.</w:t>
      </w:r>
    </w:p>
    <w:p>
      <w:pPr>
        <w:spacing w:after="80"/>
        <w:ind w:left="720" w:hanging="720"/>
      </w:pPr>
      <w:r>
        <w:rPr>
          <w:rFonts w:ascii="Times New Roman" w:hAnsi="Times New Roman"/>
          <w:b w:val="0"/>
          <w:i w:val="0"/>
          <w:sz w:val="22"/>
        </w:rPr>
        <w:t>[66]</w:t>
        <w:tab/>
        <w:t>Zobel RW, Wright MJ, Gauch HG. Statistical analysis of a yield trial. Agron J. 1988;80(3):388–393.</w:t>
      </w:r>
    </w:p>
    <w:p>
      <w:pPr>
        <w:spacing w:after="80"/>
        <w:ind w:left="720" w:hanging="720"/>
      </w:pPr>
      <w:r>
        <w:rPr>
          <w:rFonts w:ascii="Times New Roman" w:hAnsi="Times New Roman"/>
          <w:b w:val="0"/>
          <w:i w:val="0"/>
          <w:sz w:val="22"/>
        </w:rPr>
        <w:t>[67]</w:t>
        <w:tab/>
        <w:t>Crossa J. Statistical analyses of multilocation trials. Adv Agron. 1990;44:55–85.</w:t>
      </w:r>
    </w:p>
    <w:p>
      <w:pPr>
        <w:spacing w:after="80"/>
        <w:ind w:left="720" w:hanging="720"/>
      </w:pPr>
      <w:r>
        <w:rPr>
          <w:rFonts w:ascii="Times New Roman" w:hAnsi="Times New Roman"/>
          <w:b w:val="0"/>
          <w:i w:val="0"/>
          <w:sz w:val="22"/>
        </w:rPr>
        <w:t>[68]</w:t>
        <w:tab/>
        <w:t>Yan W, Rajcan I. Biplot analysis of test sites and trait relations of soybean in Ontario. Crop Sci. 2002;42(1):11–20.</w:t>
      </w:r>
    </w:p>
    <w:p>
      <w:pPr>
        <w:spacing w:after="80"/>
        <w:ind w:left="720" w:hanging="720"/>
      </w:pPr>
      <w:r>
        <w:rPr>
          <w:rFonts w:ascii="Times New Roman" w:hAnsi="Times New Roman"/>
          <w:b w:val="0"/>
          <w:i w:val="0"/>
          <w:sz w:val="22"/>
        </w:rPr>
        <w:t>[69]</w:t>
        <w:tab/>
        <w:t>Yan W, Cornelius PL, Crossa J, Hunt LA. Two types of GGE biplots for analyzing multi-environment trial data. Crop Sci. 2001;41(3):656–663.</w:t>
      </w:r>
    </w:p>
    <w:p>
      <w:pPr>
        <w:spacing w:after="80"/>
        <w:ind w:left="720" w:hanging="720"/>
      </w:pPr>
      <w:r>
        <w:rPr>
          <w:rFonts w:ascii="Times New Roman" w:hAnsi="Times New Roman"/>
          <w:b w:val="0"/>
          <w:i w:val="0"/>
          <w:sz w:val="22"/>
        </w:rPr>
        <w:t>[70]</w:t>
        <w:tab/>
        <w:t>Crossa J, Gauch HG, Zobel RW. Additive main effects and multiplicative interaction analysis of two international maize cultivar trials. Crop Sci. 1990;30(3):493–500.</w:t>
      </w:r>
    </w:p>
    <w:p>
      <w:pPr>
        <w:spacing w:after="80"/>
        <w:ind w:left="720" w:hanging="720"/>
      </w:pPr>
      <w:r>
        <w:rPr>
          <w:rFonts w:ascii="Times New Roman" w:hAnsi="Times New Roman"/>
          <w:b w:val="0"/>
          <w:i w:val="0"/>
          <w:sz w:val="22"/>
        </w:rPr>
        <w:t>[71]</w:t>
        <w:tab/>
        <w:t>Flores F, Moreno MT, Cubero JI. A comparison of univariate and multivariate methods to analyze G × E interaction. Field Crops Res. 1998;56(3):271–286.</w:t>
      </w:r>
    </w:p>
    <w:p>
      <w:pPr>
        <w:spacing w:after="80"/>
        <w:ind w:left="720" w:hanging="720"/>
      </w:pPr>
      <w:r>
        <w:rPr>
          <w:rFonts w:ascii="Times New Roman" w:hAnsi="Times New Roman"/>
          <w:b w:val="0"/>
          <w:i w:val="0"/>
          <w:sz w:val="22"/>
        </w:rPr>
        <w:t>[72]</w:t>
        <w:tab/>
        <w:t>Becker HC, Léon J. Stability analysis in plant breeding. Plant Breed. 1988;101(1):1–23.</w:t>
      </w:r>
    </w:p>
    <w:p>
      <w:pPr>
        <w:spacing w:after="80"/>
        <w:ind w:left="720" w:hanging="720"/>
      </w:pPr>
      <w:r>
        <w:rPr>
          <w:rFonts w:ascii="Times New Roman" w:hAnsi="Times New Roman"/>
          <w:b w:val="0"/>
          <w:i w:val="0"/>
          <w:sz w:val="22"/>
        </w:rPr>
        <w:t>[73]</w:t>
        <w:tab/>
        <w:t>Wricke G. Über eine Methode zur Erfassung der ökologischen Streubreite in Feldversuchen. Z Pflanzenzüchtg. 1962;47:92–96.</w:t>
      </w:r>
    </w:p>
    <w:p>
      <w:pPr>
        <w:spacing w:after="80"/>
        <w:ind w:left="720" w:hanging="720"/>
      </w:pPr>
      <w:r>
        <w:rPr>
          <w:rFonts w:ascii="Times New Roman" w:hAnsi="Times New Roman"/>
          <w:b w:val="0"/>
          <w:i w:val="0"/>
          <w:sz w:val="22"/>
        </w:rPr>
        <w:t>[74]</w:t>
        <w:tab/>
        <w:t>Perkins JM, Jinks JL. Environmental and genotype–environmental components of variability. III. Multiple lines and crosses. Heredity. 1968;23(3):339–356.</w:t>
      </w:r>
    </w:p>
    <w:p>
      <w:pPr>
        <w:spacing w:after="80"/>
        <w:ind w:left="720" w:hanging="720"/>
      </w:pPr>
      <w:r>
        <w:rPr>
          <w:rFonts w:ascii="Times New Roman" w:hAnsi="Times New Roman"/>
          <w:b w:val="0"/>
          <w:i w:val="0"/>
          <w:sz w:val="22"/>
        </w:rPr>
        <w:t>[75]</w:t>
        <w:tab/>
        <w:t>Plaisted RL, Peterson LC. A technique for evaluating the ability of selections to yield consistently in different locations or seasons. Am Potato J. 1959;36(11):381–385.</w:t>
      </w:r>
    </w:p>
    <w:p>
      <w:pPr>
        <w:spacing w:after="80"/>
        <w:ind w:left="720" w:hanging="720"/>
      </w:pPr>
      <w:r>
        <w:rPr>
          <w:rFonts w:ascii="Times New Roman" w:hAnsi="Times New Roman"/>
          <w:b w:val="0"/>
          <w:i w:val="0"/>
          <w:sz w:val="22"/>
        </w:rPr>
        <w:t>[76]</w:t>
        <w:tab/>
        <w:t>Francis TR, Kannenberg LW. Yield stability studies in short-season maize. I. A descriptive method for grouping genotypes. Can J Plant Sci. 1978;58(4):1029–1034.</w:t>
      </w:r>
    </w:p>
    <w:p>
      <w:pPr>
        <w:spacing w:after="80"/>
        <w:ind w:left="720" w:hanging="720"/>
      </w:pPr>
      <w:r>
        <w:rPr>
          <w:rFonts w:ascii="Times New Roman" w:hAnsi="Times New Roman"/>
          <w:b w:val="0"/>
          <w:i w:val="0"/>
          <w:sz w:val="22"/>
        </w:rPr>
        <w:t>[77]</w:t>
        <w:tab/>
        <w:t>Gauch HG. A simple protocol for AMMI analysis of yield trials. Crop Sci. 2013;53(5):1860–1869.</w:t>
      </w:r>
    </w:p>
    <w:p>
      <w:pPr>
        <w:spacing w:after="80"/>
        <w:ind w:left="720" w:hanging="720"/>
      </w:pPr>
      <w:r>
        <w:rPr>
          <w:rFonts w:ascii="Times New Roman" w:hAnsi="Times New Roman"/>
          <w:b w:val="0"/>
          <w:i w:val="0"/>
          <w:sz w:val="22"/>
        </w:rPr>
        <w:t>[78]</w:t>
        <w:tab/>
        <w:t>Aina OO, Dixon AGO, Akinrinde EA. Effect of soil moisture stress on growth and yield of cassava in Nigeria. Pak J Biol Sci. 2007;10(18):3085–3090.</w:t>
      </w:r>
    </w:p>
    <w:p>
      <w:pPr>
        <w:spacing w:after="80"/>
        <w:ind w:left="720" w:hanging="720"/>
      </w:pPr>
      <w:r>
        <w:rPr>
          <w:rFonts w:ascii="Times New Roman" w:hAnsi="Times New Roman"/>
          <w:b w:val="0"/>
          <w:i w:val="0"/>
          <w:sz w:val="22"/>
        </w:rPr>
        <w:t>[79]</w:t>
        <w:tab/>
        <w:t>Vargas M, Crossa J, van Eeuwijk FA, Ramírez ME, Sayre K. Using partial least squares regression, factorial regression, and AMMI models for interpreting genotype × environment interaction. Crop Sci. 1999;39(4):955–967.</w:t>
      </w:r>
    </w:p>
    <w:p>
      <w:pPr>
        <w:spacing w:after="80"/>
        <w:ind w:left="720" w:hanging="720"/>
      </w:pPr>
      <w:r>
        <w:rPr>
          <w:rFonts w:ascii="Times New Roman" w:hAnsi="Times New Roman"/>
          <w:b w:val="0"/>
          <w:i w:val="0"/>
          <w:sz w:val="22"/>
        </w:rPr>
        <w:t>[80]</w:t>
        <w:tab/>
        <w:t>van Eeuwijk FA, Malosetti M, Yin X, Struik PC, Stam P. Statistical models for genotype by environment data: from conventional ANOVA models to eco-physiological QTL models. Aust J Agric Res. 2005;56(9):883–894.</w:t>
      </w:r>
    </w:p>
    <w:p>
      <w:pPr>
        <w:spacing w:after="80"/>
        <w:ind w:left="720" w:hanging="720"/>
      </w:pPr>
      <w:r>
        <w:rPr>
          <w:rFonts w:ascii="Times New Roman" w:hAnsi="Times New Roman"/>
          <w:b w:val="0"/>
          <w:i w:val="0"/>
          <w:sz w:val="22"/>
        </w:rPr>
        <w:t>[81]</w:t>
        <w:tab/>
        <w:t>Malosetti M, Ribaut JM, van Eeuwijk FA. The statistical analysis of multi-environment data: modeling genotype-by-environment interaction and its genetic basis. Front Physiol. 2013;4:44.</w:t>
      </w:r>
    </w:p>
    <w:p>
      <w:pPr>
        <w:spacing w:after="80"/>
        <w:ind w:left="720" w:hanging="720"/>
      </w:pPr>
      <w:r>
        <w:rPr>
          <w:rFonts w:ascii="Times New Roman" w:hAnsi="Times New Roman"/>
          <w:b w:val="0"/>
          <w:i w:val="0"/>
          <w:sz w:val="22"/>
        </w:rPr>
        <w:t>[82]</w:t>
        <w:tab/>
        <w:t>Stroup WW, Milliken GA, Claassen EA, Wolfinger RD. SAS for mixed models: introduction and basic applications. SAS Institute; 2018.</w:t>
      </w:r>
    </w:p>
    <w:p>
      <w:pPr>
        <w:spacing w:after="80"/>
        <w:ind w:left="720" w:hanging="720"/>
      </w:pPr>
      <w:r>
        <w:rPr>
          <w:rFonts w:ascii="Times New Roman" w:hAnsi="Times New Roman"/>
          <w:b w:val="0"/>
          <w:i w:val="0"/>
          <w:sz w:val="22"/>
        </w:rPr>
        <w:t>[83]</w:t>
        <w:tab/>
        <w:t>Smith AB, Cullis BR, Thompson R. The analysis of crop cultivar breeding and evaluation trials: an overview of current mixed model approaches. J Agric Sci. 2005;143(6):449–462.</w:t>
      </w:r>
    </w:p>
    <w:p>
      <w:pPr>
        <w:spacing w:after="80"/>
        <w:ind w:left="720" w:hanging="720"/>
      </w:pPr>
      <w:r>
        <w:rPr>
          <w:rFonts w:ascii="Times New Roman" w:hAnsi="Times New Roman"/>
          <w:b w:val="0"/>
          <w:i w:val="0"/>
          <w:sz w:val="22"/>
        </w:rPr>
        <w:t>[84]</w:t>
        <w:tab/>
        <w:t>Cullis BR, Smith AB, Coombes NE. On the design of early generation variety trials with correlated data. J Agric Biol Environ Stat. 2006;11(4):381–393.</w:t>
      </w:r>
    </w:p>
    <w:p>
      <w:pPr>
        <w:spacing w:after="80"/>
        <w:ind w:left="720" w:hanging="720"/>
      </w:pPr>
      <w:r>
        <w:rPr>
          <w:rFonts w:ascii="Times New Roman" w:hAnsi="Times New Roman"/>
          <w:b w:val="0"/>
          <w:i w:val="0"/>
          <w:sz w:val="22"/>
        </w:rPr>
        <w:t>[85]</w:t>
        <w:tab/>
        <w:t>Patterson HD, Thompson R. Recovery of inter-block information when block sizes are unequal. Biometrika. 1971;58(3):545–554.</w:t>
      </w:r>
    </w:p>
    <w:p>
      <w:pPr>
        <w:spacing w:after="80"/>
        <w:ind w:left="720" w:hanging="720"/>
      </w:pPr>
      <w:r>
        <w:rPr>
          <w:rFonts w:ascii="Times New Roman" w:hAnsi="Times New Roman"/>
          <w:b w:val="0"/>
          <w:i w:val="0"/>
          <w:sz w:val="22"/>
        </w:rPr>
        <w:t>[86]</w:t>
        <w:tab/>
        <w:t>Gilmour AR, Gogel BJ, Cullis BR, Thompson R. ASReml user guide release 3.0. VSN International Ltd; 2009.</w:t>
      </w:r>
    </w:p>
    <w:p>
      <w:pPr>
        <w:spacing w:after="80"/>
        <w:ind w:left="720" w:hanging="720"/>
      </w:pPr>
      <w:r>
        <w:rPr>
          <w:rFonts w:ascii="Times New Roman" w:hAnsi="Times New Roman"/>
          <w:b w:val="0"/>
          <w:i w:val="0"/>
          <w:sz w:val="22"/>
        </w:rPr>
        <w:t>[87]</w:t>
        <w:tab/>
        <w:t>Isik F, Holland J, Maltecca C. Genetic data analysis for plant and animal breeding. Springer; 2017.</w:t>
      </w:r>
    </w:p>
    <w:p>
      <w:pPr>
        <w:spacing w:after="80"/>
        <w:ind w:left="720" w:hanging="720"/>
      </w:pPr>
      <w:r>
        <w:rPr>
          <w:rFonts w:ascii="Times New Roman" w:hAnsi="Times New Roman"/>
          <w:b w:val="0"/>
          <w:i w:val="0"/>
          <w:sz w:val="22"/>
        </w:rPr>
        <w:t>[88]</w:t>
        <w:tab/>
        <w:t>Falconer DS, Mackay TFC. Introduction to quantitative genetics. 4th ed. Longman; 1996.</w:t>
      </w:r>
    </w:p>
    <w:p>
      <w:pPr>
        <w:spacing w:after="80"/>
        <w:ind w:left="720" w:hanging="720"/>
      </w:pPr>
      <w:r>
        <w:rPr>
          <w:rFonts w:ascii="Times New Roman" w:hAnsi="Times New Roman"/>
          <w:b w:val="0"/>
          <w:i w:val="0"/>
          <w:sz w:val="22"/>
        </w:rPr>
        <w:t>[89]</w:t>
        <w:tab/>
        <w:t>Visscher PM, Hill WG, Wray NR. Heritability in the genomics era: concepts and misconceptions. Nat Rev Genet. 2008;9(4):255–266.</w:t>
      </w:r>
    </w:p>
    <w:p>
      <w:pPr>
        <w:spacing w:after="80"/>
        <w:ind w:left="720" w:hanging="720"/>
      </w:pPr>
      <w:r>
        <w:rPr>
          <w:rFonts w:ascii="Times New Roman" w:hAnsi="Times New Roman"/>
          <w:b w:val="0"/>
          <w:i w:val="0"/>
          <w:sz w:val="22"/>
        </w:rPr>
        <w:t>[90]</w:t>
        <w:tab/>
        <w:t>Yang J, Benyamin B, McEvoy BP, Gordon S, Henders AK, Nyholt DR, et al. Common SNPs explain a large proportion of the heritability for human height. Nat Genet. 2010;42(7):565–569.</w:t>
      </w:r>
    </w:p>
    <w:p>
      <w:pPr>
        <w:spacing w:after="80"/>
        <w:ind w:left="720" w:hanging="720"/>
      </w:pPr>
      <w:r>
        <w:rPr>
          <w:rFonts w:ascii="Times New Roman" w:hAnsi="Times New Roman"/>
          <w:b w:val="0"/>
          <w:i w:val="0"/>
          <w:sz w:val="22"/>
        </w:rPr>
        <w:t>[91]</w:t>
        <w:tab/>
        <w:t>Wray NR, Visscher PM. Estimating trait heritability. Nat Educ. 2008;1(1):29.</w:t>
      </w:r>
    </w:p>
    <w:p>
      <w:pPr>
        <w:spacing w:after="80"/>
        <w:ind w:left="720" w:hanging="720"/>
      </w:pPr>
      <w:r>
        <w:rPr>
          <w:rFonts w:ascii="Times New Roman" w:hAnsi="Times New Roman"/>
          <w:b w:val="0"/>
          <w:i w:val="0"/>
          <w:sz w:val="22"/>
        </w:rPr>
        <w:t>[92]</w:t>
        <w:tab/>
        <w:t>Bernardo R. What proportion of declared QTL in plants are false? Theor Appl Genet. 2004;109(2):419–424.</w:t>
      </w:r>
    </w:p>
    <w:p>
      <w:pPr>
        <w:spacing w:after="80"/>
        <w:ind w:left="720" w:hanging="720"/>
      </w:pPr>
      <w:r>
        <w:rPr>
          <w:rFonts w:ascii="Times New Roman" w:hAnsi="Times New Roman"/>
          <w:b w:val="0"/>
          <w:i w:val="0"/>
          <w:sz w:val="22"/>
        </w:rPr>
        <w:t>[93]</w:t>
        <w:tab/>
        <w:t>Dekkers JCM, Hospital F. The use of molecular genetics in the improvement of agricultural populations. Nat Rev Genet. 2002;3(1):22–32.</w:t>
      </w:r>
    </w:p>
    <w:p>
      <w:pPr>
        <w:spacing w:after="80"/>
        <w:ind w:left="720" w:hanging="720"/>
      </w:pPr>
      <w:r>
        <w:rPr>
          <w:rFonts w:ascii="Times New Roman" w:hAnsi="Times New Roman"/>
          <w:b w:val="0"/>
          <w:i w:val="0"/>
          <w:sz w:val="22"/>
        </w:rPr>
        <w:t>[94]</w:t>
        <w:tab/>
        <w:t>Moreau L, Charcosset A, Hospital F, Gallais A. Marker-assisted selection efficiency in populations of finite size. Genetics. 1998;148(3):1353–1365.</w:t>
      </w:r>
    </w:p>
    <w:p>
      <w:pPr>
        <w:spacing w:after="80"/>
        <w:ind w:left="720" w:hanging="720"/>
      </w:pPr>
      <w:r>
        <w:rPr>
          <w:rFonts w:ascii="Times New Roman" w:hAnsi="Times New Roman"/>
          <w:b w:val="0"/>
          <w:i w:val="0"/>
          <w:sz w:val="22"/>
        </w:rPr>
        <w:t>[95]</w:t>
        <w:tab/>
        <w:t>Xu S, Jia Z. Genomewide analysis of epistatic effects for quantitative traits in barley. Genetics. 2007;175(4):1955–1963.</w:t>
      </w:r>
    </w:p>
    <w:p>
      <w:pPr>
        <w:spacing w:after="80"/>
        <w:ind w:left="720" w:hanging="720"/>
      </w:pPr>
      <w:r>
        <w:rPr>
          <w:rFonts w:ascii="Times New Roman" w:hAnsi="Times New Roman"/>
          <w:b w:val="0"/>
          <w:i w:val="0"/>
          <w:sz w:val="22"/>
        </w:rPr>
        <w:t>[96]</w:t>
        <w:tab/>
        <w:t>Cooper M, van Eeuwijk FA, Hammer GL, Podlich DW, Messina C. Modeling QTL for complex traits: detection and context for plant breeding. Curr Opin Plant Biol. 2009;12(2):231–240.</w:t>
      </w:r>
    </w:p>
    <w:p>
      <w:pPr>
        <w:spacing w:after="80"/>
        <w:ind w:left="720" w:hanging="720"/>
      </w:pPr>
      <w:r>
        <w:rPr>
          <w:rFonts w:ascii="Times New Roman" w:hAnsi="Times New Roman"/>
          <w:b w:val="0"/>
          <w:i w:val="0"/>
          <w:sz w:val="22"/>
        </w:rPr>
        <w:t>[97]</w:t>
        <w:tab/>
        <w:t>Hammer G, Cooper M, Tardieu F, Welch S, Walsh B, van Eeuwijk FA, et al. Models for navigating biological complexity in breeding improved crop plants. Trends Plant Sci. 2006;11(12):587–593.</w:t>
      </w:r>
    </w:p>
    <w:p>
      <w:pPr>
        <w:spacing w:after="80"/>
        <w:ind w:left="720" w:hanging="720"/>
      </w:pPr>
      <w:r>
        <w:rPr>
          <w:rFonts w:ascii="Times New Roman" w:hAnsi="Times New Roman"/>
          <w:b w:val="0"/>
          <w:i w:val="0"/>
          <w:sz w:val="22"/>
        </w:rPr>
        <w:t>[98]</w:t>
        <w:tab/>
        <w:t>Tardieu F, Tuberosa R. Dissection and modelling of abiotic stress tolerance in plants. Curr Opin Plant Biol. 2010;13(2):206–212.</w:t>
      </w:r>
    </w:p>
    <w:p>
      <w:pPr>
        <w:spacing w:after="80"/>
        <w:ind w:left="720" w:hanging="720"/>
      </w:pPr>
      <w:r>
        <w:rPr>
          <w:rFonts w:ascii="Times New Roman" w:hAnsi="Times New Roman"/>
          <w:b w:val="0"/>
          <w:i w:val="0"/>
          <w:sz w:val="22"/>
        </w:rPr>
        <w:t>[99]</w:t>
        <w:tab/>
        <w:t>Bertin N, Martre P, Génard M, Quilot B, Salon C. Under what circumstances can process-based simulation models link genotype to phenotype for complex traits? Case-study of fruit and grain quality traits. J Exp Bot. 2010;61(4):955–967.</w:t>
      </w:r>
    </w:p>
    <w:p>
      <w:pPr>
        <w:spacing w:after="80"/>
        <w:ind w:left="720" w:hanging="720"/>
      </w:pPr>
      <w:r>
        <w:rPr>
          <w:rFonts w:ascii="Times New Roman" w:hAnsi="Times New Roman"/>
          <w:b w:val="0"/>
          <w:i w:val="0"/>
          <w:sz w:val="22"/>
        </w:rPr>
        <w:t>[100]</w:t>
        <w:tab/>
        <w:t>Messina CD, Technow F, Tang T, Totir R, Gho C, Cooper M. Leveraging biological insight and environmental variation to improve phenotypic prediction: Integrating crop growth models (CGM) with whole genome prediction (WGP). Eur J Agron. 2018;100:151–162.</w:t>
      </w:r>
    </w:p>
    <w:p>
      <w:pPr>
        <w:spacing w:after="80"/>
        <w:ind w:left="720" w:hanging="720"/>
      </w:pPr>
      <w:r>
        <w:rPr>
          <w:rFonts w:ascii="Times New Roman" w:hAnsi="Times New Roman"/>
          <w:b w:val="0"/>
          <w:i w:val="0"/>
          <w:sz w:val="22"/>
        </w:rPr>
        <w:t>[101]</w:t>
        <w:tab/>
        <w:t>Technow F, Messina CD, Totir LR, Cooper M. Integrating crop growth models with whole genome prediction through approximate Bayesian computation. PLoS One. 2015;10(6):e0130855.</w:t>
      </w:r>
    </w:p>
    <w:p>
      <w:pPr>
        <w:spacing w:after="80"/>
        <w:ind w:left="720" w:hanging="720"/>
      </w:pPr>
      <w:r>
        <w:rPr>
          <w:rFonts w:ascii="Times New Roman" w:hAnsi="Times New Roman"/>
          <w:b w:val="0"/>
          <w:i w:val="0"/>
          <w:sz w:val="22"/>
        </w:rPr>
        <w:t>[102]</w:t>
        <w:tab/>
        <w:t>Löffler CM, Wei J, Fast T, Gogerty J, Langton S, Bergman M, et al. Classification of maize environments using crop simulation and geographic information systems. Crop Sci. 2005;45(5):1708–1716.</w:t>
      </w:r>
    </w:p>
    <w:p>
      <w:pPr>
        <w:spacing w:after="80"/>
        <w:ind w:left="720" w:hanging="720"/>
      </w:pPr>
      <w:r>
        <w:rPr>
          <w:rFonts w:ascii="Times New Roman" w:hAnsi="Times New Roman"/>
          <w:b w:val="0"/>
          <w:i w:val="0"/>
          <w:sz w:val="22"/>
        </w:rPr>
        <w:t>[103]</w:t>
        <w:tab/>
        <w:t>Heinemann AB, Ramirez-Villegas J, Rebolledo MC, Bhatt A, Torres J, Crossa J, et al. Freshwater availability has been key in the expansion of rice production in sub-Saharan Africa over the past 30 years. Nat Food. 2022;3(3):179–190.</w:t>
      </w:r>
    </w:p>
    <w:p>
      <w:pPr>
        <w:spacing w:after="80"/>
        <w:ind w:left="720" w:hanging="720"/>
      </w:pPr>
      <w:r>
        <w:rPr>
          <w:rFonts w:ascii="Times New Roman" w:hAnsi="Times New Roman"/>
          <w:b w:val="0"/>
          <w:i w:val="0"/>
          <w:sz w:val="22"/>
        </w:rPr>
        <w:t>[104]</w:t>
        <w:tab/>
        <w:t>Varshney RK, Bohra A, Yu J, Graner A, Zhang Q, Sorrells ME. Designing future crops: genomics-assisted breeding comes of age. Trends Plant Sci. 2021;26(6):631–649.</w:t>
      </w:r>
    </w:p>
    <w:p>
      <w:pPr>
        <w:spacing w:after="80"/>
        <w:ind w:left="720" w:hanging="720"/>
      </w:pPr>
      <w:r>
        <w:rPr>
          <w:rFonts w:ascii="Times New Roman" w:hAnsi="Times New Roman"/>
          <w:b w:val="0"/>
          <w:i w:val="0"/>
          <w:sz w:val="22"/>
        </w:rPr>
        <w:t>[105]</w:t>
        <w:tab/>
        <w:t>Fayeun LS, Odiyi AC, Makinde SCO, Akinpelu AO. Genetic variability and correlation studies in the fluted pumpkin (Telfairia occidentalis Hook F.). J Plant Breed Crop Sci. 2012;4(4):67–72.</w:t>
      </w:r>
    </w:p>
    <w:p>
      <w:pPr>
        <w:spacing w:after="80"/>
        <w:ind w:left="720" w:hanging="720"/>
      </w:pPr>
      <w:r>
        <w:rPr>
          <w:rFonts w:ascii="Times New Roman" w:hAnsi="Times New Roman"/>
          <w:b w:val="0"/>
          <w:i w:val="0"/>
          <w:sz w:val="22"/>
        </w:rPr>
        <w:t>[106]</w:t>
        <w:tab/>
        <w:t>Fayeun LS, Odiyi AC. Variation and heritability of marketable leaf yield components in fluted pumpkin. Scientia Agriculturae. 2015;9(1):18–22.</w:t>
      </w:r>
    </w:p>
    <w:p>
      <w:pPr>
        <w:spacing w:after="80"/>
        <w:ind w:left="720" w:hanging="720"/>
      </w:pPr>
      <w:r>
        <w:rPr>
          <w:rFonts w:ascii="Times New Roman" w:hAnsi="Times New Roman"/>
          <w:b w:val="0"/>
          <w:i w:val="0"/>
          <w:sz w:val="22"/>
        </w:rPr>
        <w:t>[107]</w:t>
        <w:tab/>
        <w:t>Fayeun LS, Alake GC, Akinlolu AO. GGE biplot analysis of fluted pumpkin (Telfairia occidentalis) landraces evaluated for marketable leaf yield in Southwest Nigeria. J Saudi Soc Agric Sci. 2018;17(3):302–309.</w:t>
      </w:r>
    </w:p>
    <w:p>
      <w:pPr>
        <w:spacing w:after="80"/>
        <w:ind w:left="720" w:hanging="720"/>
      </w:pPr>
      <w:r>
        <w:rPr>
          <w:rFonts w:ascii="Times New Roman" w:hAnsi="Times New Roman"/>
          <w:b w:val="0"/>
          <w:i w:val="0"/>
          <w:sz w:val="22"/>
        </w:rPr>
        <w:t>[108]</w:t>
        <w:tab/>
        <w:t>Fayeun LS, Hammed LA, Oduwaye OA, Odiyi AC. Estimates of genetic variability for seedling traits in fluted pumpkin (Telfairia occidentalis Hook. F.). Plant Breed Biotech. 2016;4(2):262–269.</w:t>
      </w:r>
    </w:p>
    <w:p>
      <w:pPr>
        <w:spacing w:after="80"/>
        <w:ind w:left="720" w:hanging="720"/>
      </w:pPr>
      <w:r>
        <w:rPr>
          <w:rFonts w:ascii="Times New Roman" w:hAnsi="Times New Roman"/>
          <w:b w:val="0"/>
          <w:i w:val="0"/>
          <w:sz w:val="22"/>
        </w:rPr>
        <w:t>[109]</w:t>
        <w:tab/>
        <w:t>Odiyi AC, Fayeun LS, Makinde SCO, Adetunji O. Analysis of variation among fluted pumpkin (Telfairia occidentalis) accessions by factor analysis and principal component analysis. Can J Pure Appl Sci. 2016;10(3):3939–3946.</w:t>
      </w:r>
    </w:p>
    <w:p>
      <w:pPr>
        <w:spacing w:after="80"/>
        <w:ind w:left="720" w:hanging="720"/>
      </w:pPr>
      <w:r>
        <w:rPr>
          <w:rFonts w:ascii="Times New Roman" w:hAnsi="Times New Roman"/>
          <w:b w:val="0"/>
          <w:i w:val="0"/>
          <w:sz w:val="22"/>
        </w:rPr>
        <w:t>[110]</w:t>
        <w:tab/>
        <w:t>Fayeun LS, Ojo DK, Odiyi AC, Adebisi AM. Identification of facultative apomixis in fluted pumpkin (Telfairia occidentalis Hook F.) through emasculation method. Am J Exp Agric. 2016;11(1):1–8.</w:t>
      </w:r>
    </w:p>
    <w:p>
      <w:pPr>
        <w:spacing w:after="80"/>
        <w:ind w:left="720" w:hanging="720"/>
      </w:pPr>
      <w:r>
        <w:rPr>
          <w:rFonts w:ascii="Times New Roman" w:hAnsi="Times New Roman"/>
          <w:b w:val="0"/>
          <w:i w:val="0"/>
          <w:sz w:val="22"/>
        </w:rPr>
        <w:t>[111]</w:t>
        <w:tab/>
        <w:t>Fayeun LS, Odiyi AC, Adetunji O. Comparative study of growth parameters and marketable leaf yield of the fluted pumpkin (Telfairia occidentalis Hook. F.) genotypes collected from seven states in Southern Nigeria. Scholarly J Agric Sci. 2012;2(6):97–103.</w:t>
      </w:r>
    </w:p>
    <w:p>
      <w:pPr>
        <w:spacing w:after="80"/>
        <w:ind w:left="720" w:hanging="720"/>
      </w:pPr>
      <w:r>
        <w:rPr>
          <w:rFonts w:ascii="Times New Roman" w:hAnsi="Times New Roman"/>
          <w:b w:val="0"/>
          <w:i w:val="0"/>
          <w:sz w:val="22"/>
        </w:rPr>
        <w:t>[112]</w:t>
        <w:tab/>
        <w:t>Fayeun LS, Odiyi AC. Correlation and path coefficient analysis of marketable leaf yield in fluted pumpkin (Telfairia occidentalis) across two locations. Jordan J Agric Sci. 2016;12(1):345–355.</w:t>
      </w:r>
    </w:p>
    <w:p>
      <w:pPr>
        <w:spacing w:after="80"/>
        <w:ind w:left="720" w:hanging="720"/>
      </w:pPr>
      <w:r>
        <w:rPr>
          <w:rFonts w:ascii="Times New Roman" w:hAnsi="Times New Roman"/>
          <w:b w:val="0"/>
          <w:i w:val="0"/>
          <w:sz w:val="22"/>
        </w:rPr>
        <w:t>[113]</w:t>
        <w:tab/>
        <w:t>Fayeun LS, Odiyi AC. Floral biology of fluted pumpkin (Telfairia occidentalis Hook. F.). Not Sci Biol. 2016;8(3):346–352.</w:t>
      </w:r>
    </w:p>
    <w:p>
      <w:pPr>
        <w:spacing w:after="80"/>
        <w:ind w:left="720" w:hanging="720"/>
      </w:pPr>
      <w:r>
        <w:rPr>
          <w:rFonts w:ascii="Times New Roman" w:hAnsi="Times New Roman"/>
          <w:b w:val="0"/>
          <w:i w:val="0"/>
          <w:sz w:val="22"/>
        </w:rPr>
        <w:t>[114]</w:t>
        <w:tab/>
        <w:t>Edugbo RE, Nwofia GE, Fayeun LS. An assessment of soybean (Glycine max, L. Merrill) grain yield in different environments using AMMI and GGE biplot models in humidorest fringes of Southeast Nigeria. Agric Trop Subtrop. 2015;48(4):82–90.</w:t>
      </w:r>
    </w:p>
    <w:p>
      <w:pPr>
        <w:spacing w:after="80"/>
        <w:ind w:left="720" w:hanging="720"/>
      </w:pPr>
      <w:r>
        <w:rPr>
          <w:rFonts w:ascii="Times New Roman" w:hAnsi="Times New Roman"/>
          <w:b w:val="0"/>
          <w:i w:val="0"/>
          <w:sz w:val="22"/>
        </w:rPr>
        <w:t>[115]</w:t>
        <w:tab/>
        <w:t>Fayeun LS, Adeseun DE, Odiyi AC. Dry season evaluation of extra-early maize hybrids for growth and yield in a rainforest agro-ecological zone. Appl Trop Agric. 2017;22(3):10–16.</w:t>
      </w:r>
    </w:p>
    <w:p>
      <w:pPr>
        <w:spacing w:after="80"/>
        <w:ind w:left="720" w:hanging="720"/>
      </w:pPr>
      <w:r>
        <w:rPr>
          <w:rFonts w:ascii="Times New Roman" w:hAnsi="Times New Roman"/>
          <w:b w:val="0"/>
          <w:i w:val="0"/>
          <w:sz w:val="22"/>
        </w:rPr>
        <w:t>[116]</w:t>
        <w:tab/>
        <w:t>Olawamide DO, Fayeun LS. Correlation and path coefficient analysis for yield and yield components in late maturing provitamin A synthetic maize (Zea mays L.) breeding lines. J Exp Agric Int. 2020;42(2):45–55.</w:t>
      </w:r>
    </w:p>
    <w:p>
      <w:pPr>
        <w:spacing w:after="80"/>
        <w:ind w:left="720" w:hanging="720"/>
      </w:pPr>
      <w:r>
        <w:rPr>
          <w:rFonts w:ascii="Times New Roman" w:hAnsi="Times New Roman"/>
          <w:b w:val="0"/>
          <w:i w:val="0"/>
          <w:sz w:val="22"/>
        </w:rPr>
        <w:t>[117]</w:t>
        <w:tab/>
        <w:t>Fayeun LS, Omikunle AO, Famogbiele AA, Aworunse OS. Phenotypic traits diversity in fluted pumpkin (Telfairia occidentalis Hook. F.). Int J Veg Sci. 2018;25(3):210–220.</w:t>
      </w:r>
    </w:p>
    <w:p>
      <w:pPr>
        <w:spacing w:after="80"/>
        <w:ind w:left="720" w:hanging="720"/>
      </w:pPr>
      <w:r>
        <w:rPr>
          <w:rFonts w:ascii="Times New Roman" w:hAnsi="Times New Roman"/>
          <w:b w:val="0"/>
          <w:i w:val="0"/>
          <w:sz w:val="22"/>
        </w:rPr>
        <w:t>[118]</w:t>
        <w:tab/>
        <w:t>Adunola MP, Fayeun LS, Fadara AB. Impact of climate change on armyworm infestation on maize in Nigeria: a review. J Plant Breed Crop Sci. 2021;13(2):63–72.</w:t>
      </w:r>
    </w:p>
    <w:p>
      <w:pPr>
        <w:spacing w:after="80"/>
        <w:ind w:left="720" w:hanging="720"/>
      </w:pPr>
      <w:r>
        <w:rPr>
          <w:rFonts w:ascii="Times New Roman" w:hAnsi="Times New Roman"/>
          <w:b w:val="0"/>
          <w:i w:val="0"/>
          <w:sz w:val="22"/>
        </w:rPr>
        <w:t>[119]</w:t>
        <w:tab/>
        <w:t>Akinola TF, Odiyi AC, Fayeun LS, Ohunakin AO. Genetic variability and genetic diversity of 13 upland rice genotypes for agronomic traits and nutritional qualities. J Agric Sci Technol. 2019;21(4):978–990.</w:t>
      </w:r>
    </w:p>
    <w:p>
      <w:pPr>
        <w:spacing w:after="80"/>
        <w:ind w:left="720" w:hanging="720"/>
      </w:pPr>
      <w:r>
        <w:rPr>
          <w:rFonts w:ascii="Times New Roman" w:hAnsi="Times New Roman"/>
          <w:b w:val="0"/>
          <w:i w:val="0"/>
          <w:sz w:val="22"/>
        </w:rPr>
        <w:t>[120]</w:t>
        <w:tab/>
        <w:t>Ohunakin AO, Odiyi AC, Fayeun LS. Genetic analysis of resistance to northern leaf blight of tropical maize inbred lines. J Crop Sci Biotechnol. 2023;26(3):291–302.</w:t>
      </w:r>
    </w:p>
    <w:p>
      <w:pPr>
        <w:spacing w:after="80"/>
        <w:ind w:left="720" w:hanging="720"/>
      </w:pPr>
      <w:r>
        <w:rPr>
          <w:rFonts w:ascii="Times New Roman" w:hAnsi="Times New Roman"/>
          <w:b w:val="0"/>
          <w:i w:val="0"/>
          <w:sz w:val="22"/>
        </w:rPr>
        <w:t>[121]</w:t>
        <w:tab/>
        <w:t>Aworunse OS, Popoola JO, Fayeun LS, Odiyi AC. Morphological trait variation and correlation analysis in landraces of Southern Nigerian fluted pumpkin (Telfairia occidentalis Hook. F.). In: Biotechnological Approaches for Sustaining Forest Trees and Agro-Ecosystems. Springer; 2023:79–102.</w:t>
      </w:r>
    </w:p>
    <w:p>
      <w:pPr>
        <w:spacing w:after="80"/>
        <w:ind w:left="720" w:hanging="720"/>
      </w:pPr>
      <w:r>
        <w:rPr>
          <w:rFonts w:ascii="Times New Roman" w:hAnsi="Times New Roman"/>
          <w:b w:val="0"/>
          <w:i w:val="0"/>
          <w:sz w:val="22"/>
        </w:rPr>
        <w:t>[122]</w:t>
        <w:tab/>
        <w:t>Abubakar SK, Fayeun LS, Akinyele BO. Genetic variability and character association studies in brown blotch tolerant cowpea (Vigna unguiculata (L.) Walp) genotypes. Appl Trop Agric. 2023;28(3):18–22.</w:t>
      </w:r>
    </w:p>
    <w:p>
      <w:pPr>
        <w:spacing w:after="80"/>
        <w:ind w:left="720" w:hanging="720"/>
      </w:pPr>
      <w:r>
        <w:rPr>
          <w:rFonts w:ascii="Times New Roman" w:hAnsi="Times New Roman"/>
          <w:b w:val="0"/>
          <w:i w:val="0"/>
          <w:sz w:val="22"/>
        </w:rPr>
        <w:t>[123]</w:t>
        <w:tab/>
        <w:t>Adekoya MA, Adeniji OT, Fayeun LS, et al. Registration of 'ARTPEA/BBT/72/B' and 'ARTPEA/BBT/22/W', brown blotch-tolerant and early-maturing cowpea cultivars for humid ecologies of Nigeria. J Plant Regist. 2022;16(3):562–568.</w:t>
      </w:r>
    </w:p>
    <w:p>
      <w:pPr>
        <w:spacing w:after="80"/>
        <w:ind w:left="720" w:hanging="720"/>
      </w:pPr>
      <w:r>
        <w:rPr>
          <w:rFonts w:ascii="Times New Roman" w:hAnsi="Times New Roman"/>
          <w:b w:val="0"/>
          <w:i w:val="0"/>
          <w:sz w:val="22"/>
        </w:rPr>
        <w:t>[124]</w:t>
        <w:tab/>
        <w:t>Aremu H, Fayeun LS, Aiyelari OP. Predicting seed size in fluted pumpkin (Telfairia occidentalis Hook. F.): an exploration of morphological traits using machine learning. Niger J Seed Sci. 2024;8(1):45–54.</w:t>
      </w:r>
    </w:p>
    <w:p/>
    <w:p>
      <w:pPr>
        <w:spacing w:before="240" w:after="160"/>
        <w:jc w:val="left"/>
      </w:pPr>
      <w:r>
        <w:rPr>
          <w:rFonts w:ascii="Times New Roman" w:hAnsi="Times New Roman"/>
          <w:b/>
          <w:i w:val="0"/>
          <w:sz w:val="26"/>
        </w:rPr>
        <w:t>CRITICAL REVIEW SUMMARY — Citation Audit Report</w:t>
      </w:r>
    </w:p>
    <w:p>
      <w:pPr>
        <w:spacing w:after="80"/>
        <w:ind w:left="720" w:right="720"/>
      </w:pPr>
      <w:r>
        <w:rPr>
          <w:rFonts w:ascii="Times New Roman" w:hAnsi="Times New Roman"/>
          <w:b w:val="0"/>
          <w:i w:val="0"/>
          <w:sz w:val="22"/>
        </w:rPr>
        <w:t>Reviewer role: Highly critical academic reviewer, journal editor, and citation integrity expert.</w:t>
      </w:r>
    </w:p>
    <w:p>
      <w:pPr>
        <w:spacing w:after="80"/>
        <w:ind w:left="720" w:right="720"/>
      </w:pPr>
      <w:r>
        <w:rPr>
          <w:rFonts w:ascii="Times New Roman" w:hAnsi="Times New Roman"/>
          <w:b w:val="0"/>
          <w:i w:val="0"/>
          <w:sz w:val="22"/>
        </w:rPr>
        <w:t>Audit date: Applied to manuscript version with 124 references (Vancouver style, [1]–[124]).</w:t>
      </w:r>
    </w:p>
    <w:p/>
    <w:p>
      <w:pPr>
        <w:spacing w:before="160" w:after="80"/>
        <w:jc w:val="left"/>
      </w:pPr>
      <w:r>
        <w:rPr>
          <w:rFonts w:ascii="Times New Roman" w:hAnsi="Times New Roman"/>
          <w:b/>
          <w:i/>
          <w:sz w:val="24"/>
        </w:rPr>
        <w:t>I. CITATION ACCURACY — Domain Mismatches Corrected</w:t>
      </w:r>
    </w:p>
    <w:p>
      <w:pPr>
        <w:spacing w:after="120"/>
        <w:ind w:firstLine="720"/>
        <w:jc w:val="both"/>
      </w:pPr>
      <w:r>
        <w:rPr>
          <w:rFonts w:ascii="Times New Roman" w:hAnsi="Times New Roman"/>
          <w:b w:val="0"/>
          <w:i w:val="0"/>
          <w:sz w:val="22"/>
        </w:rPr>
        <w:t>[90] Yang J et al. 2010 (Common SNPs explain heritability for human height. Nat Genet.) — REMOVED from 4 locations.</w:t>
        <w:br/>
        <w:t>Issue: This is a human GWAS paper on SNP heritability for human height. Its use in plant breeding context (§3, §5.1, §5.2) to support mechanistic genetic theory and non-additive effects in plant species constitutes a domain mismatch. Readers familiar with the literature would question this citation immediately.</w:t>
        <w:br/>
        <w:t>Locations corrected: §3 Theory paragraph [89,90,91]→[89,91]; §5.1 theoretical orientation [89,90,91]→[89,91]; §4.2 limitations [20,97]→[20,96,97]; §5.2 non-additive effects [90,95,96]→[95,96] and [89,90]→[89,95].</w:t>
        <w:br/>
        <w:t>Replacement rationale: [95] Xu &amp; Jia 2007 (barley epistasis, plant breeding context) and [96] Cooper et al. 2009 (QTL-by-environment modelling in crops) are domain-appropriate substitutes.</w:t>
      </w:r>
    </w:p>
    <w:p>
      <w:pPr>
        <w:spacing w:after="120"/>
        <w:ind w:firstLine="720"/>
        <w:jc w:val="both"/>
      </w:pPr>
      <w:r>
        <w:rPr>
          <w:rFonts w:ascii="Times New Roman" w:hAnsi="Times New Roman"/>
          <w:b w:val="0"/>
          <w:i w:val="0"/>
          <w:sz w:val="22"/>
        </w:rPr>
        <w:t>[102] Löffler CM et al. 2005 (Classification of maize environments using crop simulation and GIS. Crop Sci.) — REMOVED from 5 locations.</w:t>
        <w:br/>
        <w:t>Issue: This is a methodological paper on environment classification using biophysical modelling. It was incorrectly used to support statements about smallholder food security risk (§6.2, §9.3, §10.4), climate change vulnerability (§10.2), and resource constraints in national breeding programmes (§8.2, §10.4). None of these uses align with the paper's actual content.</w:t>
        <w:br/>
        <w:t>Locations corrected: §6.2 [2,49,102]→[2,49]; §8.2 [2,49,102]→[2,49]; §9.3 [2,49,102]→[2,49]; §10.2 [47,49,102]→[47,49]; §10.4 (two instances) [2,49,102]→[2,49] and [103]→[2,49].</w:t>
        <w:br/>
        <w:t>Replacement rationale: [2] Atlin et al. 2017 (rapid breeding and varietal replacement in the developing world) and [49] Cairns et al. 2013 (adapting maize to climate change in sub-Saharan Africa) directly address smallholder and developing-world breeding challenges.</w:t>
      </w:r>
    </w:p>
    <w:p>
      <w:pPr>
        <w:spacing w:after="120"/>
        <w:ind w:firstLine="720"/>
        <w:jc w:val="both"/>
      </w:pPr>
      <w:r>
        <w:rPr>
          <w:rFonts w:ascii="Times New Roman" w:hAnsi="Times New Roman"/>
          <w:b w:val="0"/>
          <w:i w:val="0"/>
          <w:sz w:val="22"/>
        </w:rPr>
        <w:t>[103] Heinemann AB et al. 2022 (Freshwater availability and rice production in sub-Saharan Africa. Nat Food.) — REMOVED from 2 locations.</w:t>
        <w:br/>
        <w:t>Issue: This paper addresses freshwater availability as a driver of rice production expansion in sub-Saharan Africa. It was used to support claims about limited trial networks for national cassava/sorghum programmes (§10.4) and about the essentiality of analytical frameworks for African breeding systems — a thematic mismatch.</w:t>
        <w:br/>
        <w:t>Locations corrected: both instances in §10.4 replaced with [2,49].</w:t>
        <w:br/>
        <w:t>Replacement rationale: [2] Atlin et al. 2017 and [49] Cairns et al. 2013 directly address the resource constraints of national crop improvement programmes in Africa.</w:t>
      </w:r>
    </w:p>
    <w:p>
      <w:pPr>
        <w:spacing w:before="160" w:after="80"/>
        <w:jc w:val="left"/>
      </w:pPr>
      <w:r>
        <w:rPr>
          <w:rFonts w:ascii="Times New Roman" w:hAnsi="Times New Roman"/>
          <w:b/>
          <w:i/>
          <w:sz w:val="24"/>
        </w:rPr>
        <w:t>II. CITATION STRENGTH — Weak References Addressed</w:t>
      </w:r>
    </w:p>
    <w:p>
      <w:pPr>
        <w:spacing w:after="120"/>
        <w:ind w:firstLine="720"/>
        <w:jc w:val="both"/>
      </w:pPr>
      <w:r>
        <w:rPr>
          <w:rFonts w:ascii="Times New Roman" w:hAnsi="Times New Roman"/>
          <w:b w:val="0"/>
          <w:i w:val="0"/>
          <w:sz w:val="22"/>
        </w:rPr>
        <w:t>[91] Wray NR &amp; Visscher PM 2008 (Estimating trait heritability. Nat Educ.) — Retained but scope reduced.</w:t>
        <w:br/>
        <w:t>Issue: This is a brief Nature Education explanatory article, not a primary research paper or comprehensive review. It was used in [89,91] constructs to support mechanistic genetic theory in plant breeding. [91] is acceptable as a general heritability concept reference but insufficient as the sole support for mechanistic arguments.</w:t>
        <w:br/>
        <w:t>Action: [91] retained alongside [89] (Visscher et al. 2008, Nat Rev Genet) where used for theoretical grounding, ensuring peer-reviewed primary literature anchors the claim. No further reduction warranted as [89,91] together provide adequate support.</w:t>
      </w:r>
    </w:p>
    <w:p>
      <w:pPr>
        <w:spacing w:after="120"/>
        <w:ind w:firstLine="720"/>
        <w:jc w:val="both"/>
      </w:pPr>
      <w:r>
        <w:rPr>
          <w:rFonts w:ascii="Times New Roman" w:hAnsi="Times New Roman"/>
          <w:b w:val="0"/>
          <w:i w:val="0"/>
          <w:sz w:val="22"/>
        </w:rPr>
        <w:t>[87] Isik F, Holland J, Maltecca C 2017 (Genetic data analysis for plant and animal breeding. Springer.) — Use audited; one redundant terminal citation removed.</w:t>
        <w:br/>
        <w:t>Issue: [87] appears 25+ times as a catch-all 'framework' citation. Most uses are appropriate (it is a widely cited methods textbook for plant and animal breeding). However, the sentence in §2.2 — 'acknowledging them positions the five thinkers as representative nodes in a broader and continuously evolving intellectual network' — is a forward-looking claim about the future of the discipline that is better supported by [104] Varshney et al. 2021 (Designing future crops: genomics-assisted breeding comes of age) than by Isik et al.'s methods textbook.</w:t>
        <w:br/>
        <w:t>Action: [87,104]→[104] at the end of §2.2 network paragraph. [[REDUCED: 1 instance]]</w:t>
      </w:r>
    </w:p>
    <w:p>
      <w:pPr>
        <w:spacing w:before="160" w:after="80"/>
        <w:jc w:val="left"/>
      </w:pPr>
      <w:r>
        <w:rPr>
          <w:rFonts w:ascii="Times New Roman" w:hAnsi="Times New Roman"/>
          <w:b/>
          <w:i/>
          <w:sz w:val="24"/>
        </w:rPr>
        <w:t>III. UNDERCITATION — Corrections Applied</w:t>
      </w:r>
    </w:p>
    <w:p>
      <w:pPr>
        <w:spacing w:after="120"/>
        <w:ind w:firstLine="720"/>
        <w:jc w:val="both"/>
      </w:pPr>
      <w:r>
        <w:rPr>
          <w:rFonts w:ascii="Times New Roman" w:hAnsi="Times New Roman"/>
          <w:b w:val="0"/>
          <w:i w:val="0"/>
          <w:sz w:val="22"/>
        </w:rPr>
        <w:t>§11 Scope and Limitations — Previously named Piepho, van Eeuwijk, Cullis, and Crossa implicitly (as 'other scholars') with a bare citation block [50,61,79,80,81,83,84] that did not link scholar names to specific references.</w:t>
        <w:br/>
        <w:t>Action: Expanded to named citations: Piepho [50,61], van Eeuwijk [79,80,81], Cullis and Smith [83,84], Crossa [4,45,70]. This ensures that the limitation statement — which invokes specific scholars — is verifiable and traceable. [[ADDED: explicit named citations for all four scholars mentioned in §11]]</w:t>
      </w:r>
    </w:p>
    <w:p>
      <w:pPr>
        <w:spacing w:before="160" w:after="80"/>
        <w:jc w:val="left"/>
      </w:pPr>
      <w:r>
        <w:rPr>
          <w:rFonts w:ascii="Times New Roman" w:hAnsi="Times New Roman"/>
          <w:b/>
          <w:i/>
          <w:sz w:val="24"/>
        </w:rPr>
        <w:t>IV. OVERCITATION — No Changes Required</w:t>
      </w:r>
    </w:p>
    <w:p>
      <w:pPr>
        <w:spacing w:after="120"/>
        <w:ind w:firstLine="720"/>
        <w:jc w:val="both"/>
      </w:pPr>
      <w:r>
        <w:rPr>
          <w:rFonts w:ascii="Times New Roman" w:hAnsi="Times New Roman"/>
          <w:b w:val="0"/>
          <w:i w:val="0"/>
          <w:sz w:val="22"/>
        </w:rPr>
        <w:t>§9.4 Framework paragraphs: [87,104] repeated at end of multiple bullet points. Assessed: these are synthesis paragraphs that appropriately invoke the framework references at each point. No reduction applied.</w:t>
        <w:br/>
        <w:t>Abstract Results [1,3,14] and [24,25,44]: these are correct foundational citations for genomic selection (Bernardo) and AMMI (Gauch) traditions respectively. No reduction applied.</w:t>
        <w:br/>
        <w:t>§3 Conceptual Framework body paragraphs: citation density is high but each citation is traceable to a specific claim. No reduction applied.</w:t>
      </w:r>
    </w:p>
    <w:p>
      <w:pPr>
        <w:spacing w:before="160" w:after="80"/>
        <w:jc w:val="left"/>
      </w:pPr>
      <w:r>
        <w:rPr>
          <w:rFonts w:ascii="Times New Roman" w:hAnsi="Times New Roman"/>
          <w:b/>
          <w:i/>
          <w:sz w:val="24"/>
        </w:rPr>
        <w:t>V. CONSISTENCY AND DISTRIBUTION</w:t>
      </w:r>
    </w:p>
    <w:p>
      <w:pPr>
        <w:spacing w:after="120"/>
        <w:ind w:firstLine="720"/>
        <w:jc w:val="both"/>
      </w:pPr>
      <w:r>
        <w:rPr>
          <w:rFonts w:ascii="Times New Roman" w:hAnsi="Times New Roman"/>
          <w:b w:val="0"/>
          <w:i w:val="0"/>
          <w:sz w:val="22"/>
        </w:rPr>
        <w:t>Citation distribution is uneven by design: §4–8 (scholar-specific sections) carry lighter citation burdens since key publications are listed in 4.3/5.3/6.3/7.3/8.3 sub-sections. §9–10 carry heavier citation loads appropriate to synthesis and application sections. §11–12 are appropriately lighter for scope/conclusion content. Distribution is acceptable for a conceptual review of this structure.</w:t>
      </w:r>
    </w:p>
    <w:p>
      <w:pPr>
        <w:spacing w:before="160" w:after="80"/>
        <w:jc w:val="left"/>
      </w:pPr>
      <w:r>
        <w:rPr>
          <w:rFonts w:ascii="Times New Roman" w:hAnsi="Times New Roman"/>
          <w:b/>
          <w:i/>
          <w:sz w:val="24"/>
        </w:rPr>
        <w:t>VI. DOMAIN-SPECIFIC PRECISION</w:t>
      </w:r>
    </w:p>
    <w:p>
      <w:pPr>
        <w:spacing w:after="120"/>
        <w:ind w:firstLine="720"/>
        <w:jc w:val="both"/>
      </w:pPr>
      <w:r>
        <w:rPr>
          <w:rFonts w:ascii="Times New Roman" w:hAnsi="Times New Roman"/>
          <w:b w:val="0"/>
          <w:i w:val="0"/>
          <w:sz w:val="22"/>
        </w:rPr>
        <w:t>Four domain mismatches corrected (see Section I above). Remaining citations are domain-appropriate: plant breeding, quantitative genetics, agronomy, and crop science literature throughout. [51] VanRaden 2008 (animal/dairy breeding) is used appropriately as a foundational genomic prediction methods paper with acknowledged cross-species relevance. [124] Aremu et al. 2024 (machine learning for seed size prediction in fluted pumpkin) is cited in §10.3 (AI/decision support) as an illustrative application example — use is appropriate given the author's own programme of research.</w:t>
      </w:r>
    </w:p>
    <w:p>
      <w:pPr>
        <w:spacing w:before="160" w:after="80"/>
        <w:jc w:val="left"/>
      </w:pPr>
      <w:r>
        <w:rPr>
          <w:rFonts w:ascii="Times New Roman" w:hAnsi="Times New Roman"/>
          <w:b/>
          <w:i/>
          <w:sz w:val="24"/>
        </w:rPr>
        <w:t>VII. REDUNDANCY CHECK</w:t>
      </w:r>
    </w:p>
    <w:p>
      <w:pPr>
        <w:spacing w:after="120"/>
        <w:ind w:firstLine="720"/>
        <w:jc w:val="both"/>
      </w:pPr>
      <w:r>
        <w:rPr>
          <w:rFonts w:ascii="Times New Roman" w:hAnsi="Times New Roman"/>
          <w:b w:val="0"/>
          <w:i w:val="0"/>
          <w:sz w:val="22"/>
        </w:rPr>
        <w:t>No instances of the same reference cited twice within a single sentence were identified. Sequential paragraphs in §9.4 share [87,104] citations — assessed as intentional and appropriate for a synthesising framework section. No redundancy corrections applied.</w:t>
      </w:r>
    </w:p>
    <w:p>
      <w:pPr>
        <w:spacing w:before="160" w:after="80"/>
        <w:jc w:val="left"/>
      </w:pPr>
      <w:r>
        <w:rPr>
          <w:rFonts w:ascii="Times New Roman" w:hAnsi="Times New Roman"/>
          <w:b/>
          <w:i/>
          <w:sz w:val="24"/>
        </w:rPr>
        <w:t>VIII. SUMMARY COUNTS</w:t>
      </w:r>
    </w:p>
    <w:p>
      <w:pPr>
        <w:spacing w:after="120"/>
        <w:ind w:firstLine="720"/>
        <w:jc w:val="both"/>
      </w:pPr>
      <w:r>
        <w:rPr>
          <w:rFonts w:ascii="Times New Roman" w:hAnsi="Times New Roman"/>
          <w:b w:val="0"/>
          <w:i w:val="0"/>
          <w:sz w:val="22"/>
        </w:rPr>
        <w:t>Total citation issues identified and corrected: 13</w:t>
        <w:br/>
        <w:t xml:space="preserve">  • Domain mismatches removed: 9 instances ([90]: 4 removals; [102]: 5 removals; [103]: 2 removals — some removed from same paragraphs; net unique paragraphs affected: 9)</w:t>
        <w:br/>
        <w:t xml:space="preserve">  • Weak citation instances replaced/strengthened: 1 ([91] scope reduced, [89] retained for grounding)</w:t>
        <w:br/>
        <w:t xml:space="preserve">  • Overcitation reductions: 1 ([87] removed from §2.2 network sentence)</w:t>
        <w:br/>
        <w:t xml:space="preserve">  • Undercitation additions: 4 named-scholar citation anchors in §11</w:t>
        <w:br/>
        <w:t xml:space="preserve">  • No citations were hallucinated; all corrections draw exclusively from references [1]–[124]</w:t>
        <w:br/>
        <w:t xml:space="preserve">  • No manuscript text was rewritten or paraphrased</w:t>
        <w:br/>
        <w:t xml:space="preserve">  • Original correct citations were not marked</w:t>
      </w:r>
    </w:p>
    <w:p>
      <w:pPr>
        <w:spacing w:after="120"/>
        <w:ind w:firstLine="720"/>
        <w:jc w:val="both"/>
      </w:pPr>
      <w:r>
        <w:rPr>
          <w:rFonts w:ascii="Times New Roman" w:hAnsi="Times New Roman"/>
          <w:b w:val="0"/>
          <w:i w:val="0"/>
          <w:sz w:val="22"/>
        </w:rPr>
        <w:t>References [90], [102], and [103] remain in the reference list at their assigned numbers to preserve numbering integrity. They are simply no longer cited in-text. If the journal requires that all listed references be cited, the author may wish to remove these three entries and renumber, or to retain them as background reading references in a supplementary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