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SUPPORT POUR LES ASSOCIÉS · PREMIÈRE PAGE À PRÉSENTER</w:t>
      </w:r>
    </w:p>
    <w:p>
      <w:pPr>
        <w:pStyle w:val="Title"/>
      </w:pPr>
      <w:r>
        <w:t>TwinCare</w:t>
      </w:r>
    </w:p>
    <w:p>
      <w:pPr>
        <w:pStyle w:val="Subtitle"/>
      </w:pPr>
      <w:r>
        <w:t>Une consultation préparée, sources à l’appui</w:t>
      </w:r>
    </w:p>
    <w:p>
      <w:pPr>
        <w:pStyle w:val="Lead"/>
      </w:pPr>
      <w:r>
        <w:t>Le patient raconte ce qu’il veut aborder et transmet ses documents. TwinCare prépare une fiche courte ; le médecin vérifie et conserve les éléments utiles dans son logiciel métier.</w:t>
      </w:r>
    </w:p>
    <w:p>
      <w:r>
        <w:t>Proposition opérationnelle issue de la synthèse du 5 septembre 2026. Les choix ci-dessous sont des recommandations de conception ; les gains restent à mesurer. Le projet ne dispose pas, à ce stade, d’une connexion Doctolib vérifiée sur le compte du cabinet.</w:t>
      </w:r>
    </w:p>
    <w:p>
      <w:pPr>
        <w:pStyle w:val="Heading2"/>
      </w:pPr>
      <w:r>
        <w:t>Le premier usage à éprouver</w:t>
      </w:r>
    </w:p>
    <w:p>
      <w:r>
        <w:t>Deux médecins, dont Florian, et une assistante habilitée. Commencer avec des adultes ayant une consultation programmée, par exemple un retour d’hospitalisation déjà organisé ou plusieurs documents récents à revoir. Écarter du pilote les demandes urgentes, les mineurs et les situations de représentation complexe ; le soin habituel reste accessible.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EE5"/>
          <w:left w:val="single" w:sz="4" w:color="D5DEE5"/>
          <w:bottom w:val="single" w:sz="4" w:color="D5DEE5"/>
          <w:right w:val="single" w:sz="4" w:color="D5DEE5"/>
          <w:insideH w:val="single" w:sz="4" w:color="D5DEE5"/>
          <w:insideV w:val="single" w:sz="4" w:color="D5DEE5"/>
        </w:tblBorders>
      </w:tblPr>
      <w:tblGrid>
        <w:gridCol w:w="1900"/>
        <w:gridCol w:w="5500"/>
        <w:gridCol w:w="1960"/>
      </w:tblGrid>
      <w:tr>
        <w:trPr>
          <w:cantSplit/>
          <w:tblHeader/>
        </w:trPr>
        <w:tc>
          <w:tcPr>
            <w:tcW w:type="dxa" w:w="1900"/>
            <w:shd w:fill="F2F4F7"/>
          </w:tcPr>
          <w:p>
            <w:pPr>
              <w:pStyle w:val="TableText"/>
            </w:pPr>
            <w:r>
              <w:rPr>
                <w:b/>
              </w:rPr>
              <w:t>Moment</w:t>
            </w:r>
          </w:p>
        </w:tc>
        <w:tc>
          <w:tcPr>
            <w:tcW w:type="dxa" w:w="5500"/>
            <w:shd w:fill="F2F4F7"/>
          </w:tcPr>
          <w:p>
            <w:pPr>
              <w:pStyle w:val="TableText"/>
            </w:pPr>
            <w:r>
              <w:rPr>
                <w:b/>
              </w:rPr>
              <w:t>Action concrète</w:t>
            </w:r>
          </w:p>
        </w:tc>
        <w:tc>
          <w:tcPr>
            <w:tcW w:type="dxa" w:w="1960"/>
            <w:shd w:fill="F2F4F7"/>
          </w:tcPr>
          <w:p>
            <w:pPr>
              <w:pStyle w:val="TableText"/>
            </w:pPr>
            <w:r>
              <w:rPr>
                <w:b/>
              </w:rPr>
              <w:t>Responsable</w:t>
            </w:r>
          </w:p>
        </w:tc>
      </w:tr>
      <w:tr>
        <w:trPr>
          <w:cantSplit/>
        </w:trPr>
        <w:tc>
          <w:tcPr>
            <w:tcW w:type="dxa" w:w="1900"/>
          </w:tcPr>
          <w:p>
            <w:pPr>
              <w:pStyle w:val="TableText"/>
            </w:pPr>
            <w:r>
              <w:t>Après réservation</w:t>
            </w:r>
          </w:p>
        </w:tc>
        <w:tc>
          <w:tcPr>
            <w:tcW w:type="dxa" w:w="5500"/>
          </w:tcPr>
          <w:p>
            <w:pPr>
              <w:pStyle w:val="TableText"/>
            </w:pPr>
            <w:r>
              <w:t>Un lien dans les consignes Doctolib propose de préparer la consultation.</w:t>
            </w:r>
          </w:p>
        </w:tc>
        <w:tc>
          <w:tcPr>
            <w:tcW w:type="dxa" w:w="1960"/>
          </w:tcPr>
          <w:p>
            <w:pPr>
              <w:pStyle w:val="TableText"/>
            </w:pPr>
            <w:r>
              <w:t>Paramétrage initial du cabinet</w:t>
            </w:r>
          </w:p>
        </w:tc>
      </w:tr>
      <w:tr>
        <w:trPr>
          <w:cantSplit/>
        </w:trPr>
        <w:tc>
          <w:tcPr>
            <w:tcW w:type="dxa" w:w="1900"/>
          </w:tcPr>
          <w:p>
            <w:pPr>
              <w:pStyle w:val="TableText"/>
            </w:pPr>
            <w:r>
              <w:t>Avant la consultation</w:t>
            </w:r>
          </w:p>
        </w:tc>
        <w:tc>
          <w:tcPr>
            <w:tcW w:type="dxa" w:w="5500"/>
          </w:tcPr>
          <w:p>
            <w:pPr>
              <w:pStyle w:val="TableText"/>
            </w:pPr>
            <w:r>
              <w:t>Récit guidé et documents depuis un navigateur, sans application à installer.</w:t>
            </w:r>
          </w:p>
        </w:tc>
        <w:tc>
          <w:tcPr>
            <w:tcW w:type="dxa" w:w="1960"/>
          </w:tcPr>
          <w:p>
            <w:pPr>
              <w:pStyle w:val="TableText"/>
            </w:pPr>
            <w:r>
              <w:t>Patient, avec aide si nécessaire</w:t>
            </w:r>
          </w:p>
        </w:tc>
      </w:tr>
      <w:tr>
        <w:trPr>
          <w:cantSplit/>
        </w:trPr>
        <w:tc>
          <w:tcPr>
            <w:tcW w:type="dxa" w:w="1900"/>
          </w:tcPr>
          <w:p>
            <w:pPr>
              <w:pStyle w:val="TableText"/>
            </w:pPr>
            <w:r>
              <w:t>À réception</w:t>
            </w:r>
          </w:p>
        </w:tc>
        <w:tc>
          <w:tcPr>
            <w:tcW w:type="dxa" w:w="5500"/>
          </w:tcPr>
          <w:p>
            <w:pPr>
              <w:pStyle w:val="TableText"/>
            </w:pPr>
            <w:r>
              <w:t>Vérifier à qui appartient le dépôt et à quel rendez-vous il correspond.</w:t>
            </w:r>
          </w:p>
        </w:tc>
        <w:tc>
          <w:tcPr>
            <w:tcW w:type="dxa" w:w="1960"/>
          </w:tcPr>
          <w:p>
            <w:pPr>
              <w:pStyle w:val="TableText"/>
            </w:pPr>
            <w:r>
              <w:t>Assistante selon ses droits</w:t>
            </w:r>
          </w:p>
        </w:tc>
      </w:tr>
      <w:tr>
        <w:trPr>
          <w:cantSplit/>
        </w:trPr>
        <w:tc>
          <w:tcPr>
            <w:tcW w:type="dxa" w:w="1900"/>
          </w:tcPr>
          <w:p>
            <w:pPr>
              <w:pStyle w:val="TableText"/>
            </w:pPr>
            <w:r>
              <w:t>En préparation</w:t>
            </w:r>
          </w:p>
        </w:tc>
        <w:tc>
          <w:tcPr>
            <w:tcW w:type="dxa" w:w="5500"/>
          </w:tcPr>
          <w:p>
            <w:pPr>
              <w:pStyle w:val="TableText"/>
            </w:pPr>
            <w:r>
              <w:t>Produire un brouillon daté avec des références vers les sources.</w:t>
            </w:r>
          </w:p>
        </w:tc>
        <w:tc>
          <w:tcPr>
            <w:tcW w:type="dxa" w:w="1960"/>
          </w:tcPr>
          <w:p>
            <w:pPr>
              <w:pStyle w:val="TableText"/>
            </w:pPr>
            <w:r>
              <w:t>TwinCare</w:t>
            </w:r>
          </w:p>
        </w:tc>
      </w:tr>
      <w:tr>
        <w:trPr>
          <w:cantSplit/>
        </w:trPr>
        <w:tc>
          <w:tcPr>
            <w:tcW w:type="dxa" w:w="1900"/>
          </w:tcPr>
          <w:p>
            <w:pPr>
              <w:pStyle w:val="TableText"/>
            </w:pPr>
            <w:r>
              <w:t>Pendant la consultation</w:t>
            </w:r>
          </w:p>
        </w:tc>
        <w:tc>
          <w:tcPr>
            <w:tcW w:type="dxa" w:w="5500"/>
          </w:tcPr>
          <w:p>
            <w:pPr>
              <w:pStyle w:val="TableText"/>
            </w:pPr>
            <w:r>
              <w:t>Vérifier, corriger, copier les éléments retenus dans le dossier métier.</w:t>
            </w:r>
          </w:p>
        </w:tc>
        <w:tc>
          <w:tcPr>
            <w:tcW w:type="dxa" w:w="1960"/>
          </w:tcPr>
          <w:p>
            <w:pPr>
              <w:pStyle w:val="TableText"/>
            </w:pPr>
            <w:r>
              <w:t>Médecin</w:t>
            </w:r>
          </w:p>
        </w:tc>
      </w:tr>
    </w:tbl>
    <w:p>
      <w:pPr>
        <w:pStyle w:val="Heading2"/>
      </w:pPr>
      <w:r>
        <w:t>La preuve recherchée</w:t>
      </w:r>
    </w:p>
    <w:p>
      <w:r>
        <w:t>Réduire la recherche de documents et la reconstitution du récit, sans déplacer la charge vers l’assistante. Cible proposée : au moins une minute nette gagnée par consultation éligible, en comptant invitations, rapprochement d’identité, corrections et transfert final.</w:t>
      </w:r>
    </w:p>
    <w:p>
      <w:pPr>
        <w:pStyle w:val="Small"/>
      </w:pPr>
      <w:r>
        <w:t>Périmètre initial : préparer une consultation. L’aval, la coordination étendue et l’environnement restent dans la trajectoire, après une preuve d’usage. MedFlow désigne le moteur interne de structuration ; il n’ajoute pas un produit à construire au pilote.</w:t>
      </w:r>
    </w:p>
    <w:p>
      <w:pPr>
        <w:pStyle w:val="Kicker"/>
        <w:pageBreakBefore/>
      </w:pPr>
      <w:r>
        <w:t>01  /  CONTACT ET INTÉGRATION</w:t>
      </w:r>
    </w:p>
    <w:p>
      <w:pPr>
        <w:pStyle w:val="PageHeading"/>
      </w:pPr>
      <w:r>
        <w:t>Doctolib : utiliser une fonction existante</w:t>
      </w:r>
    </w:p>
    <w:p>
      <w:r>
        <w:t>L’aide officielle permet d’insérer une URL externe dans une consigne après réservation, associée à des agendas et motifs, sur les versions payantes. La consigne est accessible depuis le compte et les e-mails liés au rendez-vous. C’est le point d’entrée recommandé. [D1]</w:t>
      </w:r>
    </w:p>
    <w:p>
      <w:pPr>
        <w:pStyle w:val="Heading2"/>
      </w:pPr>
      <w:r>
        <w:t>Le réglage à tester sur le compte du cabinet</w:t>
      </w:r>
    </w:p>
    <w:p>
      <w:r>
        <w:t>Administrateur → Paramètres → Gestion des rendez-vous → Consignes → Ajouter → Consignes patients → agendas et motifs → Après la prise de rendez-vous → Rédiger une consigne → insérer le lien. Utiliser une URL fixe du portail, sans identité patient. [D1]</w:t>
      </w:r>
    </w:p>
    <w:p>
      <w:r>
        <w:t>Texte proposé : « Vous pouvez préparer votre consultation en racontant ce que vous souhaitez aborder et en ajoutant vos documents : Préparer ma consultation. C’est facultatif ; votre rendez-vous reste inchangé. »</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EE5"/>
          <w:left w:val="single" w:sz="4" w:color="D5DEE5"/>
          <w:bottom w:val="single" w:sz="4" w:color="D5DEE5"/>
          <w:right w:val="single" w:sz="4" w:color="D5DEE5"/>
          <w:insideH w:val="single" w:sz="4" w:color="D5DEE5"/>
          <w:insideV w:val="single" w:sz="4" w:color="D5DEE5"/>
        </w:tblBorders>
      </w:tblPr>
      <w:tblGrid>
        <w:gridCol w:w="2350"/>
        <w:gridCol w:w="7010"/>
      </w:tblGrid>
      <w:tr>
        <w:trPr>
          <w:cantSplit/>
          <w:tblHeader/>
        </w:trPr>
        <w:tc>
          <w:tcPr>
            <w:tcW w:type="dxa" w:w="2350"/>
            <w:shd w:fill="F2F4F7"/>
          </w:tcPr>
          <w:p>
            <w:pPr>
              <w:pStyle w:val="TableText"/>
            </w:pPr>
            <w:r>
              <w:rPr>
                <w:b/>
              </w:rPr>
              <w:t>Solution</w:t>
            </w:r>
          </w:p>
        </w:tc>
        <w:tc>
          <w:tcPr>
            <w:tcW w:type="dxa" w:w="7010"/>
            <w:shd w:fill="F2F4F7"/>
          </w:tcPr>
          <w:p>
            <w:pPr>
              <w:pStyle w:val="TableText"/>
            </w:pPr>
            <w:r>
              <w:rPr>
                <w:b/>
              </w:rPr>
              <w:t>Décision pour le pilote</w:t>
            </w:r>
          </w:p>
        </w:tc>
      </w:tr>
      <w:tr>
        <w:trPr>
          <w:cantSplit/>
        </w:trPr>
        <w:tc>
          <w:tcPr>
            <w:tcW w:type="dxa" w:w="2350"/>
          </w:tcPr>
          <w:p>
            <w:pPr>
              <w:pStyle w:val="TableText"/>
            </w:pPr>
            <w:r>
              <w:t>Lien dans les consignes</w:t>
            </w:r>
          </w:p>
        </w:tc>
        <w:tc>
          <w:tcPr>
            <w:tcW w:type="dxa" w:w="7010"/>
          </w:tcPr>
          <w:p>
            <w:pPr>
              <w:pStyle w:val="TableText"/>
            </w:pPr>
            <w:r>
              <w:t>Premier choix. Vérifier réservation en ligne, rendez-vous déjà pris et rendez-vous créé au secrétariat. Ne pas supposer le même affichage.</w:t>
            </w:r>
          </w:p>
        </w:tc>
      </w:tr>
      <w:tr>
        <w:trPr>
          <w:cantSplit/>
        </w:trPr>
        <w:tc>
          <w:tcPr>
            <w:tcW w:type="dxa" w:w="2350"/>
          </w:tcPr>
          <w:p>
            <w:pPr>
              <w:pStyle w:val="TableText"/>
            </w:pPr>
            <w:r>
              <w:t>SMS individuel TwinCare</w:t>
            </w:r>
          </w:p>
        </w:tc>
        <w:tc>
          <w:tcPr>
            <w:tcW w:type="dxa" w:w="7010"/>
          </w:tcPr>
          <w:p>
            <w:pPr>
              <w:pStyle w:val="TableText"/>
            </w:pPr>
            <w:r>
              <w:t>Secours ciblé, déclenché par l’équipe après vérification du numéro. Message neutre, sans motif ni donnée clinique. Temps à mesurer.</w:t>
            </w:r>
          </w:p>
        </w:tc>
      </w:tr>
      <w:tr>
        <w:trPr>
          <w:cantSplit/>
        </w:trPr>
        <w:tc>
          <w:tcPr>
            <w:tcW w:type="dxa" w:w="2350"/>
          </w:tcPr>
          <w:p>
            <w:pPr>
              <w:pStyle w:val="TableText"/>
            </w:pPr>
            <w:r>
              <w:t>Documents déjà dans Doctolib</w:t>
            </w:r>
          </w:p>
        </w:tc>
        <w:tc>
          <w:tcPr>
            <w:tcW w:type="dxa" w:w="7010"/>
          </w:tcPr>
          <w:p>
            <w:pPr>
              <w:pStyle w:val="TableText"/>
            </w:pPr>
            <w:r>
              <w:t>Ne pas demander de les déposer deux fois. Téléchargement par un professionnel habilité, puis import ciblé si le gain le justifie. [D4]</w:t>
            </w:r>
          </w:p>
        </w:tc>
      </w:tr>
      <w:tr>
        <w:trPr>
          <w:cantSplit/>
        </w:trPr>
        <w:tc>
          <w:tcPr>
            <w:tcW w:type="dxa" w:w="2350"/>
          </w:tcPr>
          <w:p>
            <w:pPr>
              <w:pStyle w:val="TableText"/>
            </w:pPr>
            <w:r>
              <w:t>Export officiel</w:t>
            </w:r>
          </w:p>
        </w:tc>
        <w:tc>
          <w:tcPr>
            <w:tcW w:type="dxa" w:w="7010"/>
          </w:tcPr>
          <w:p>
            <w:pPr>
              <w:pStyle w:val="TableText"/>
            </w:pPr>
            <w:r>
              <w:t>À évaluer ensuite. Un export daté ne garantit ni les rendez-vous futurs ni une synchronisation des annulations. [D3]</w:t>
            </w:r>
          </w:p>
        </w:tc>
      </w:tr>
      <w:tr>
        <w:trPr>
          <w:cantSplit/>
        </w:trPr>
        <w:tc>
          <w:tcPr>
            <w:tcW w:type="dxa" w:w="2350"/>
          </w:tcPr>
          <w:p>
            <w:pPr>
              <w:pStyle w:val="TableText"/>
            </w:pPr>
            <w:r>
              <w:t>Lecture écran / extension</w:t>
            </w:r>
          </w:p>
        </w:tc>
        <w:tc>
          <w:tcPr>
            <w:tcW w:type="dxa" w:w="7010"/>
          </w:tcPr>
          <w:p>
            <w:pPr>
              <w:pStyle w:val="TableText"/>
            </w:pPr>
            <w:r>
              <w:t>Hors chemin critique. Faisabilité technique et droit contractuel non établis. Une extension lisant la page reste dépendante du contrat et de l’interface.</w:t>
            </w:r>
          </w:p>
        </w:tc>
      </w:tr>
    </w:tbl>
    <w:p>
      <w:pPr>
        <w:pStyle w:val="Heading2"/>
      </w:pPr>
      <w:r>
        <w:t>Ce que ce montage ne sait pas faire</w:t>
      </w:r>
    </w:p>
    <w:p>
      <w:r>
        <w:t>TwinCare ne reçoit pas automatiquement l’identité, l’agenda, les annulations ni l’historique médical. Il ne connaît pas les non-répondants : aucune relance ciblée automatique en V1. Le lien TwinCare n’est pas présumé insérable librement dans les SMS standards Doctolib. [D2]</w:t>
      </w:r>
    </w:p>
    <w:p>
      <w:pPr>
        <w:pStyle w:val="Small"/>
      </w:pPr>
      <w:r>
        <w:t>Le patient déclare identité, praticien et date ; l’équipe rapproche le dépôt du rendez-vous. Un changement de rendez-vous demande une correction manuelle. Les fonctions natives de préparation et de dépôt Doctolib servent de comparateur avant de reconstruire quoi que ce soit. Les droits de l’assistante sont à vérifier. [D4]</w:t>
      </w:r>
    </w:p>
    <w:p>
      <w:pPr>
        <w:pStyle w:val="Kicker"/>
        <w:pageBreakBefore/>
      </w:pPr>
      <w:r>
        <w:t>02  /  PARCOURS PATIENT</w:t>
      </w:r>
    </w:p>
    <w:p>
      <w:pPr>
        <w:pStyle w:val="PageHeading"/>
      </w:pPr>
      <w:r>
        <w:t>Quatre écrans, une préparation facultative</w:t>
      </w:r>
    </w:p>
    <w:p>
      <w:pPr>
        <w:pStyle w:val="Heading2"/>
      </w:pPr>
      <w:r>
        <w:t>Entrer et vérifier le contact</w:t>
      </w:r>
    </w:p>
    <w:p>
      <w:r>
        <w:t>Le portail de la MSP annonce la durée visée (3 à 5 minutes), sa finalité et les destinataires. Il précise : « Ce formulaire n’est pas surveillé en continu. Pour une urgence, appelez le 15 ou le 112. » Le patient confirme qu’il prépare un rendez-vous déjà prévu.</w:t>
      </w:r>
    </w:p>
    <w:p>
      <w:r>
        <w:t>Nom de naissance, prénom, date de naissance, téléphone, praticien et date du rendez-vous. Le code reçu par SMS vérifie le téléphone, pas l’identité médicale. Le dépôt reste séparé de tout dossier existant jusqu’au rapprochement par l’équipe. Aucun dossier antérieur n’est visible sur la simple déclaration d’identité.</w:t>
      </w:r>
    </w:p>
    <w:p>
      <w:pPr>
        <w:pStyle w:val="Heading2"/>
      </w:pPr>
      <w:r>
        <w:t>Raconter, sans devoir choisir le bon motif</w:t>
      </w:r>
    </w:p>
    <w:p>
      <w:r>
        <w:t>Une première invitation ouverte : « Qu’aimeriez-vous que le soignant comprenne avant de vous voir ? » Puis des repères facultatifs : « Depuis quand ? Qu’est-ce qui a changé ? Qu’avez-vous déjà essayé ? Quelle question voulez-vous absolument aborder ? » Le patient peut répondre « Je ne sais pas » ou passer une question.</w:t>
      </w:r>
    </w:p>
    <w:p>
      <w:r>
        <w:t>Le parcours utilise quelques embranchements écrits et vérifiables. Il ne mène pas un interrogatoire médical infini. Les antécédents, traitements et habitudes de vie ne sont demandés que lorsqu’ils servent le parcours retenu ; leur absence reste « non renseigné ».</w:t>
      </w:r>
    </w:p>
    <w:p>
      <w:pPr>
        <w:pStyle w:val="Heading2"/>
      </w:pPr>
      <w:r>
        <w:t>Joindre les pièces utiles</w:t>
      </w:r>
    </w:p>
    <w:p>
      <w:r>
        <w:t>PDF ou photos : compte rendu récent, ordonnance, résultat à discuter. Limite de départ proposée : cinq pièces, avec indication de lisibilité. Si une pièce est déjà partagée dans Doctolib, le patient peut le signaler. On ne lui fait pas recopier les valeurs biologiques ni tous ses médicaments.</w:t>
      </w:r>
    </w:p>
    <w:p>
      <w:pPr>
        <w:pStyle w:val="Heading2"/>
      </w:pPr>
      <w:r>
        <w:t>Relire et transmettre</w:t>
      </w:r>
    </w:p>
    <w:p>
      <w:r>
        <w:t>Le patient revoit son texte et la liste des pièces, corrige, puis transmet. Confirmation : « Dépôt reçu ; il reste à rattacher. Sa lecture avant la consultation n’est pas garantie. » Pas de compte permanent imposé, pas de conversation ouverte après envoi en V1.</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EE5"/>
          <w:left w:val="single" w:sz="4" w:color="D5DEE5"/>
          <w:bottom w:val="single" w:sz="4" w:color="D5DEE5"/>
          <w:right w:val="single" w:sz="4" w:color="D5DEE5"/>
          <w:insideH w:val="single" w:sz="4" w:color="D5DEE5"/>
          <w:insideV w:val="single" w:sz="4" w:color="D5DEE5"/>
        </w:tblBorders>
      </w:tblPr>
      <w:tblGrid>
        <w:gridCol w:w="1800"/>
        <w:gridCol w:w="7560"/>
      </w:tblGrid>
      <w:tr>
        <w:trPr>
          <w:cantSplit/>
          <w:tblHeader/>
        </w:trPr>
        <w:tc>
          <w:tcPr>
            <w:tcW w:type="dxa" w:w="1800"/>
            <w:shd w:fill="F2F4F7"/>
          </w:tcPr>
          <w:p>
            <w:pPr>
              <w:pStyle w:val="TableText"/>
            </w:pPr>
            <w:r>
              <w:rPr>
                <w:b/>
              </w:rPr>
              <w:t>Mode</w:t>
            </w:r>
          </w:p>
        </w:tc>
        <w:tc>
          <w:tcPr>
            <w:tcW w:type="dxa" w:w="7560"/>
            <w:shd w:fill="F2F4F7"/>
          </w:tcPr>
          <w:p>
            <w:pPr>
              <w:pStyle w:val="TableText"/>
            </w:pPr>
            <w:r>
              <w:rPr>
                <w:b/>
              </w:rPr>
              <w:t>Choix concret</w:t>
            </w:r>
          </w:p>
        </w:tc>
      </w:tr>
      <w:tr>
        <w:trPr>
          <w:cantSplit/>
        </w:trPr>
        <w:tc>
          <w:tcPr>
            <w:tcW w:type="dxa" w:w="1800"/>
          </w:tcPr>
          <w:p>
            <w:pPr>
              <w:pStyle w:val="TableText"/>
            </w:pPr>
            <w:r>
              <w:t>Texte + documents</w:t>
            </w:r>
          </w:p>
        </w:tc>
        <w:tc>
          <w:tcPr>
            <w:tcW w:type="dxa" w:w="7560"/>
          </w:tcPr>
          <w:p>
            <w:pPr>
              <w:pStyle w:val="TableText"/>
            </w:pPr>
            <w:r>
              <w:t>Version initiale : simple, corrigeable, accessible sur téléphone et ordinateur.</w:t>
            </w:r>
          </w:p>
        </w:tc>
      </w:tr>
      <w:tr>
        <w:trPr>
          <w:cantSplit/>
        </w:trPr>
        <w:tc>
          <w:tcPr>
            <w:tcW w:type="dxa" w:w="1800"/>
          </w:tcPr>
          <w:p>
            <w:pPr>
              <w:pStyle w:val="TableText"/>
            </w:pPr>
            <w:r>
              <w:t>Voix</w:t>
            </w:r>
          </w:p>
        </w:tc>
        <w:tc>
          <w:tcPr>
            <w:tcW w:type="dxa" w:w="7560"/>
          </w:tcPr>
          <w:p>
            <w:pPr>
              <w:pStyle w:val="TableText"/>
            </w:pPr>
            <w:r>
              <w:t>Étape suivante : bouton volontaire, transcription locale contrôlée, relecture puis suppression de l’audio. Aucun diagnostic à partir de la voix.</w:t>
            </w:r>
          </w:p>
        </w:tc>
      </w:tr>
      <w:tr>
        <w:trPr>
          <w:cantSplit/>
        </w:trPr>
        <w:tc>
          <w:tcPr>
            <w:tcW w:type="dxa" w:w="1800"/>
          </w:tcPr>
          <w:p>
            <w:pPr>
              <w:pStyle w:val="TableText"/>
            </w:pPr>
            <w:r>
              <w:t>Accompagnement</w:t>
            </w:r>
          </w:p>
        </w:tc>
        <w:tc>
          <w:tcPr>
            <w:tcW w:type="dxa" w:w="7560"/>
          </w:tcPr>
          <w:p>
            <w:pPr>
              <w:pStyle w:val="TableText"/>
            </w:pPr>
            <w:r>
              <w:t>Saisie avec l’assistante pendant un contact déjà prévu ; auteur et aide tracés. Refuser l’outil ne modifie pas le soin.</w:t>
            </w:r>
          </w:p>
        </w:tc>
      </w:tr>
    </w:tbl>
    <w:p>
      <w:pPr>
        <w:pStyle w:val="Small"/>
      </w:pPr>
      <w:r>
        <w:t>La dictée du clavier ou du navigateur peut dépendre d’un service distant : elle ne sera pas présentée comme un mode local garanti. La V1 n’intègre pas cette fonction tant que sa chaîne de traitement n’est pas maîtrisée.</w:t>
      </w:r>
    </w:p>
    <w:p>
      <w:pPr>
        <w:pStyle w:val="Kicker"/>
        <w:pageBreakBefore/>
      </w:pPr>
      <w:r>
        <w:t>03  /  PRÉPARATION AUTOMATIQUE</w:t>
      </w:r>
    </w:p>
    <w:p>
      <w:pPr>
        <w:pStyle w:val="PageHeading"/>
      </w:pPr>
      <w:r>
        <w:t>Une fiche courte que l’on peut contrôler</w:t>
      </w:r>
    </w:p>
    <w:p>
      <w:pPr>
        <w:pStyle w:val="Small"/>
      </w:pPr>
      <w:r>
        <w:t>Exemple entièrement fictif — Brouillon non validé. Consultation programmée après hospitalisation. Les références ci-dessous illustrent le format attendu, sans provenir de documents réels.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EE5"/>
          <w:left w:val="single" w:sz="4" w:color="D5DEE5"/>
          <w:bottom w:val="single" w:sz="4" w:color="D5DEE5"/>
          <w:right w:val="single" w:sz="4" w:color="D5DEE5"/>
          <w:insideH w:val="single" w:sz="4" w:color="D5DEE5"/>
          <w:insideV w:val="single" w:sz="4" w:color="D5DEE5"/>
        </w:tblBorders>
      </w:tblPr>
      <w:tblGrid>
        <w:gridCol w:w="2350"/>
        <w:gridCol w:w="7010"/>
      </w:tblGrid>
      <w:tr>
        <w:trPr>
          <w:cantSplit/>
          <w:tblHeader/>
        </w:trPr>
        <w:tc>
          <w:tcPr>
            <w:tcW w:type="dxa" w:w="2350"/>
            <w:shd w:fill="F2F4F7"/>
          </w:tcPr>
          <w:p>
            <w:pPr>
              <w:pStyle w:val="TableText"/>
            </w:pPr>
            <w:r>
              <w:rPr>
                <w:b/>
              </w:rPr>
              <w:t>Rubrique affichée</w:t>
            </w:r>
          </w:p>
        </w:tc>
        <w:tc>
          <w:tcPr>
            <w:tcW w:type="dxa" w:w="7010"/>
            <w:shd w:fill="F2F4F7"/>
          </w:tcPr>
          <w:p>
            <w:pPr>
              <w:pStyle w:val="TableText"/>
            </w:pPr>
            <w:r>
              <w:rPr>
                <w:b/>
              </w:rPr>
              <w:t>Contenu proposé</w:t>
            </w:r>
          </w:p>
        </w:tc>
      </w:tr>
      <w:tr>
        <w:trPr>
          <w:cantSplit/>
        </w:trPr>
        <w:tc>
          <w:tcPr>
            <w:tcW w:type="dxa" w:w="2350"/>
          </w:tcPr>
          <w:p>
            <w:pPr>
              <w:pStyle w:val="TableText"/>
            </w:pPr>
            <w:r>
              <w:t>Ce que la personne veut aborder</w:t>
            </w:r>
          </w:p>
        </w:tc>
        <w:tc>
          <w:tcPr>
            <w:tcW w:type="dxa" w:w="7010"/>
          </w:tcPr>
          <w:p>
            <w:pPr>
              <w:pStyle w:val="TableText"/>
            </w:pPr>
            <w:r>
              <w:t>« Je ne sais plus quels médicaments je dois reprendre. » — récit patient, 06/09.</w:t>
            </w:r>
          </w:p>
        </w:tc>
      </w:tr>
      <w:tr>
        <w:trPr>
          <w:cantSplit/>
        </w:trPr>
        <w:tc>
          <w:tcPr>
            <w:tcW w:type="dxa" w:w="2350"/>
          </w:tcPr>
          <w:p>
            <w:pPr>
              <w:pStyle w:val="TableText"/>
            </w:pPr>
            <w:r>
              <w:t>Événements documentés</w:t>
            </w:r>
          </w:p>
        </w:tc>
        <w:tc>
          <w:tcPr>
            <w:tcW w:type="dxa" w:w="7010"/>
          </w:tcPr>
          <w:p>
            <w:pPr>
              <w:pStyle w:val="TableText"/>
            </w:pPr>
            <w:r>
              <w:t>Sortie d’hospitalisation le 03/09 — lettre de sortie, page 1.</w:t>
            </w:r>
          </w:p>
        </w:tc>
      </w:tr>
      <w:tr>
        <w:trPr>
          <w:cantSplit/>
        </w:trPr>
        <w:tc>
          <w:tcPr>
            <w:tcW w:type="dxa" w:w="2350"/>
          </w:tcPr>
          <w:p>
            <w:pPr>
              <w:pStyle w:val="TableText"/>
            </w:pPr>
            <w:r>
              <w:t>Déclarations récentes</w:t>
            </w:r>
          </w:p>
        </w:tc>
        <w:tc>
          <w:tcPr>
            <w:tcW w:type="dxa" w:w="7010"/>
          </w:tcPr>
          <w:p>
            <w:pPr>
              <w:pStyle w:val="TableText"/>
            </w:pPr>
            <w:r>
              <w:t>Le patient dit avoir repris son ancienne ordonnance — récit patient, 06/09.</w:t>
            </w:r>
          </w:p>
        </w:tc>
      </w:tr>
      <w:tr>
        <w:trPr>
          <w:cantSplit/>
        </w:trPr>
        <w:tc>
          <w:tcPr>
            <w:tcW w:type="dxa" w:w="2350"/>
          </w:tcPr>
          <w:p>
            <w:pPr>
              <w:pStyle w:val="TableText"/>
            </w:pPr>
            <w:r>
              <w:t>Points à vérifier</w:t>
            </w:r>
          </w:p>
        </w:tc>
        <w:tc>
          <w:tcPr>
            <w:tcW w:type="dxa" w:w="7010"/>
          </w:tcPr>
          <w:p>
            <w:pPr>
              <w:pStyle w:val="TableText"/>
            </w:pPr>
            <w:r>
              <w:t>La lettre de sortie et l’ancienne ordonnance présentent des listes différentes. Traitement effectivement pris à confirmer.</w:t>
            </w:r>
          </w:p>
        </w:tc>
      </w:tr>
      <w:tr>
        <w:trPr>
          <w:cantSplit/>
        </w:trPr>
        <w:tc>
          <w:tcPr>
            <w:tcW w:type="dxa" w:w="2350"/>
          </w:tcPr>
          <w:p>
            <w:pPr>
              <w:pStyle w:val="TableText"/>
            </w:pPr>
            <w:r>
              <w:t>Sources et limites</w:t>
            </w:r>
          </w:p>
        </w:tc>
        <w:tc>
          <w:tcPr>
            <w:tcW w:type="dxa" w:w="7010"/>
          </w:tcPr>
          <w:p>
            <w:pPr>
              <w:pStyle w:val="TableText"/>
            </w:pPr>
            <w:r>
              <w:t>Récit + lettre de sortie + ordonnance ancienne. Aucun accès au dossier complet. Aucune absence d’allergie déduite.</w:t>
            </w:r>
          </w:p>
        </w:tc>
      </w:tr>
    </w:tbl>
    <w:p>
      <w:pPr>
        <w:pStyle w:val="Heading2"/>
      </w:pPr>
      <w:r>
        <w:t>Ce qui tourne automatiquement</w:t>
      </w:r>
    </w:p>
    <w:p>
      <w:r>
        <w:t>Réception et contrôle des fichiers : format, taille, antivirus, doublons exacts ; pièces suspectes isolées. Extraction du texte localement ; reconnaissance des caractères pour les scans. Un document illisible reste consultable et signalé, sans contenu inventé.</w:t>
      </w:r>
    </w:p>
    <w:p>
      <w:r>
        <w:t>Structuration : chaque élément conserve le texte original, sa source, sa page si disponible, la date du document et la date de réception. Les déclarations du patient restent distinctes des documents. L’ordre chronologique des sources ne prouve pas qu’un traitement est encore actuel.</w:t>
      </w:r>
    </w:p>
    <w:p>
      <w:r>
        <w:t>Rédaction : un modèle local peut proposer un brouillon dans des rubriques fixes. Il n’a aucun outil d’envoi ni d’action clinique. Le contenu des pièces est traité comme une source, jamais comme une instruction. Les incohérences repérées sont montrées ; le système ne prétend pas toutes les détecter.</w:t>
      </w:r>
    </w:p>
    <w:p>
      <w:pPr>
        <w:pStyle w:val="Heading2"/>
      </w:pPr>
      <w:r>
        <w:t>Le contrôle reste lisible</w:t>
      </w:r>
    </w:p>
    <w:p>
      <w:r>
        <w:t>L’assistante vérifie le rattachement, la présence et la lisibilité des pièces selon ses droits. Le médecin voit le brouillon avec ses sources, corrige puis sélectionne les éléments à conserver. Une absence d’information reste inconnue ; une case vide ne devient jamais une négation clinique.</w:t>
      </w:r>
    </w:p>
    <w:p>
      <w:r>
        <w:t>Avant transfert, le médecin vérifie l’identité de la fiche et celle du dossier métier ouvert. Il copie les éléments validés et les pièces utiles, puis confirme le versement ; le bouton « Copier » ne suffit pas. Toute modification ultérieure produit une nouvelle version à examiner.</w:t>
      </w:r>
    </w:p>
    <w:p>
      <w:pPr>
        <w:pStyle w:val="Small"/>
      </w:pPr>
      <w:r>
        <w:t>Repli : si le modèle échoue, afficher le récit, les pièces et un récapitulatif déterministe. Objectifs à tester : ouverture d’une fiche déjà calculée en moins de 2 secondes ; préparation en arrière-plan, sans délai garanti avant mesures sur le matériel retenu.</w:t>
      </w:r>
    </w:p>
    <w:p>
      <w:pPr>
        <w:pStyle w:val="Kicker"/>
        <w:pageBreakBefore/>
      </w:pPr>
      <w:r>
        <w:t>04  /  ARCHITECTURE ET CONSERVATION</w:t>
      </w:r>
    </w:p>
    <w:p>
      <w:pPr>
        <w:pStyle w:val="PageHeading"/>
      </w:pPr>
      <w:r>
        <w:t>Un dépôt distant temporaire, un moteur local</w:t>
      </w:r>
    </w:p>
    <w:p>
      <w:r>
        <w:t>Pour respecter la priorité local-first, je recommande un sas de collecte HDS et une application au cabinet. Le sas permet au patient de déposer ses pièces même lorsque la MSP est fermée ; l’extraction et la synthèse restent sur une machine professionnelle dédiée. Ce choix demande une exploitation financée. [R2, R3]</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EE5"/>
          <w:left w:val="single" w:sz="4" w:color="D5DEE5"/>
          <w:bottom w:val="single" w:sz="4" w:color="D5DEE5"/>
          <w:right w:val="single" w:sz="4" w:color="D5DEE5"/>
          <w:insideH w:val="single" w:sz="4" w:color="D5DEE5"/>
          <w:insideV w:val="single" w:sz="4" w:color="D5DEE5"/>
        </w:tblBorders>
      </w:tblPr>
      <w:tblGrid>
        <w:gridCol w:w="2050"/>
        <w:gridCol w:w="4740"/>
        <w:gridCol w:w="2570"/>
      </w:tblGrid>
      <w:tr>
        <w:trPr>
          <w:cantSplit/>
          <w:tblHeader/>
        </w:trPr>
        <w:tc>
          <w:tcPr>
            <w:tcW w:type="dxa" w:w="2050"/>
            <w:shd w:fill="F2F4F7"/>
          </w:tcPr>
          <w:p>
            <w:pPr>
              <w:pStyle w:val="TableText"/>
            </w:pPr>
            <w:r>
              <w:rPr>
                <w:b/>
              </w:rPr>
              <w:t>Emplacement</w:t>
            </w:r>
          </w:p>
        </w:tc>
        <w:tc>
          <w:tcPr>
            <w:tcW w:type="dxa" w:w="4740"/>
            <w:shd w:fill="F2F4F7"/>
          </w:tcPr>
          <w:p>
            <w:pPr>
              <w:pStyle w:val="TableText"/>
            </w:pPr>
            <w:r>
              <w:rPr>
                <w:b/>
              </w:rPr>
              <w:t>Données et usage</w:t>
            </w:r>
          </w:p>
        </w:tc>
        <w:tc>
          <w:tcPr>
            <w:tcW w:type="dxa" w:w="2570"/>
            <w:shd w:fill="F2F4F7"/>
          </w:tcPr>
          <w:p>
            <w:pPr>
              <w:pStyle w:val="TableText"/>
            </w:pPr>
            <w:r>
              <w:rPr>
                <w:b/>
              </w:rPr>
              <w:t>Responsable opérationnel</w:t>
            </w:r>
          </w:p>
        </w:tc>
      </w:tr>
      <w:tr>
        <w:trPr>
          <w:cantSplit/>
        </w:trPr>
        <w:tc>
          <w:tcPr>
            <w:tcW w:type="dxa" w:w="2050"/>
          </w:tcPr>
          <w:p>
            <w:pPr>
              <w:pStyle w:val="TableText"/>
            </w:pPr>
            <w:r>
              <w:t>Sas hébergé en France</w:t>
            </w:r>
          </w:p>
        </w:tc>
        <w:tc>
          <w:tcPr>
            <w:tcW w:type="dxa" w:w="4740"/>
          </w:tcPr>
          <w:p>
            <w:pPr>
              <w:pStyle w:val="TableText"/>
            </w:pPr>
            <w:r>
              <w:t>Formulaire et pièces temporaires ; aucun historique médical consultable. Chiffrement en transit et au repos.</w:t>
            </w:r>
          </w:p>
        </w:tc>
        <w:tc>
          <w:tcPr>
            <w:tcW w:type="dxa" w:w="2570"/>
          </w:tcPr>
          <w:p>
            <w:pPr>
              <w:pStyle w:val="TableText"/>
            </w:pPr>
            <w:r>
              <w:t>Prestataire dans un périmètre HDS vérifié</w:t>
            </w:r>
          </w:p>
        </w:tc>
      </w:tr>
      <w:tr>
        <w:trPr>
          <w:cantSplit/>
        </w:trPr>
        <w:tc>
          <w:tcPr>
            <w:tcW w:type="dxa" w:w="2050"/>
          </w:tcPr>
          <w:p>
            <w:pPr>
              <w:pStyle w:val="TableText"/>
            </w:pPr>
            <w:r>
              <w:t>Application locale MSP</w:t>
            </w:r>
          </w:p>
        </w:tc>
        <w:tc>
          <w:tcPr>
            <w:tcW w:type="dxa" w:w="4740"/>
          </w:tcPr>
          <w:p>
            <w:pPr>
              <w:pStyle w:val="TableText"/>
            </w:pPr>
            <w:r>
              <w:t>Base structurée, sources et brouillons ; OCR et modèle local. Accès sur le réseau professionnel, comptes individuels.</w:t>
            </w:r>
          </w:p>
        </w:tc>
        <w:tc>
          <w:tcPr>
            <w:tcW w:type="dxa" w:w="2570"/>
          </w:tcPr>
          <w:p>
            <w:pPr>
              <w:pStyle w:val="TableText"/>
            </w:pPr>
            <w:r>
              <w:t>Exploitant désigné, mises à jour et support</w:t>
            </w:r>
          </w:p>
        </w:tc>
      </w:tr>
      <w:tr>
        <w:trPr>
          <w:cantSplit/>
        </w:trPr>
        <w:tc>
          <w:tcPr>
            <w:tcW w:type="dxa" w:w="2050"/>
          </w:tcPr>
          <w:p>
            <w:pPr>
              <w:pStyle w:val="TableText"/>
            </w:pPr>
            <w:r>
              <w:t>Logiciel métier</w:t>
            </w:r>
          </w:p>
        </w:tc>
        <w:tc>
          <w:tcPr>
            <w:tcW w:type="dxa" w:w="4740"/>
          </w:tcPr>
          <w:p>
            <w:pPr>
              <w:pStyle w:val="TableText"/>
            </w:pPr>
            <w:r>
              <w:t>Éléments validés et documents utiles à la prise en charge. Référence clinique conservée.</w:t>
            </w:r>
          </w:p>
        </w:tc>
        <w:tc>
          <w:tcPr>
            <w:tcW w:type="dxa" w:w="2570"/>
          </w:tcPr>
          <w:p>
            <w:pPr>
              <w:pStyle w:val="TableText"/>
            </w:pPr>
            <w:r>
              <w:t>Professionnels habilités</w:t>
            </w:r>
          </w:p>
        </w:tc>
      </w:tr>
      <w:tr>
        <w:trPr>
          <w:cantSplit/>
        </w:trPr>
        <w:tc>
          <w:tcPr>
            <w:tcW w:type="dxa" w:w="2050"/>
          </w:tcPr>
          <w:p>
            <w:pPr>
              <w:pStyle w:val="TableText"/>
            </w:pPr>
            <w:r>
              <w:t>Sauvegarde distincte</w:t>
            </w:r>
          </w:p>
        </w:tc>
        <w:tc>
          <w:tcPr>
            <w:tcW w:type="dxa" w:w="4740"/>
          </w:tcPr>
          <w:p>
            <w:pPr>
              <w:pStyle w:val="TableText"/>
            </w:pPr>
            <w:r>
              <w:t>Copie chiffrée avec restauration testée ; périmètre HDS à vérifier si service tiers.</w:t>
            </w:r>
          </w:p>
        </w:tc>
        <w:tc>
          <w:tcPr>
            <w:tcW w:type="dxa" w:w="2570"/>
          </w:tcPr>
          <w:p>
            <w:pPr>
              <w:pStyle w:val="TableText"/>
            </w:pPr>
            <w:r>
              <w:t>Exploitant et prestataire contractuels</w:t>
            </w:r>
          </w:p>
        </w:tc>
      </w:tr>
    </w:tbl>
    <w:p>
      <w:r>
        <w:t>L’application locale récupère les dépôts par une connexion sortante authentifiée. Pas de serveur du cabinet ouvert directement sur Internet. La suppression distante intervient après confirmation d’un enregistrement local durable et sauvegardé ; un échec de transfert reste visible.</w:t>
      </w:r>
    </w:p>
    <w:p>
      <w:pPr>
        <w:pStyle w:val="Heading2"/>
      </w:pPr>
      <w:r>
        <w:t>Des durées proposées, à valider dans la politique de conservation</w:t>
      </w:r>
    </w:p>
    <w:p>
      <w:r>
        <w:t>Sas : suppression sous 24 heures après réception locale confirmée ; plafond proposé de sept jours après dépôt, avec incident signalé avant échéance. Si le transfert reste impossible, appliquer la procédure d’incident et informer le patient du dépôt non transmis. Ne pas laisser croire que la préparation a été examinée.</w:t>
      </w:r>
    </w:p>
    <w:p>
      <w:r>
        <w:t>Zone locale : purge proposée 30 jours après versement vérifié des éléments utiles au dossier. Dépôt sans rattachement : examen sous sept jours, puis suppression ou traitement de l’anomalie. Les sources nécessaires au soin sont conservées dans le dossier métier avant purge ; un résumé seul ne remplace pas toutes les pièces.</w:t>
      </w:r>
    </w:p>
    <w:p>
      <w:pPr>
        <w:pStyle w:val="Small"/>
      </w:pPr>
      <w:r>
        <w:t>Audio futur : effacé après validation de la transcription, avec échéance courte en cas d’abandon. Journaux d’audit : durée distincte et motivée ; identifiants techniques, auteur et action, sans récit, document ni prompt clinique. Sauvegardes et suppressions suivent aussi une durée définie. Ces chiffres sont des choix de conception, pas des délais légaux universels.</w:t>
      </w:r>
    </w:p>
    <w:p>
      <w:pPr>
        <w:pStyle w:val="Heading2"/>
      </w:pPr>
      <w:r>
        <w:t>L’arbitrage d’exploitation</w:t>
      </w:r>
    </w:p>
    <w:p>
      <w:r>
        <w:t>Budgéter machine, maintenance, sauvegardes et restauration. Si cette exploitation dépasse les moyens de l’équipe, arbitrer explicitement en faveur d’un service HDS unifié, avec changement documenté du choix local-first. Un disque partagé ne remplit pas ce rôle.</w:t>
      </w:r>
    </w:p>
    <w:p>
      <w:pPr>
        <w:pStyle w:val="Kicker"/>
        <w:pageBreakBefore/>
      </w:pPr>
      <w:r>
        <w:t>05  /  CONDITIONS D’UN PILOTE RÉEL</w:t>
      </w:r>
    </w:p>
    <w:p>
      <w:pPr>
        <w:pStyle w:val="PageHeading"/>
      </w:pPr>
      <w:r>
        <w:t>Rendre les responsabilités et les limites explicites</w:t>
      </w:r>
    </w:p>
    <w:p>
      <w:pPr>
        <w:pStyle w:val="Heading2"/>
      </w:pPr>
      <w:r>
        <w:t>Les vérifications préalables qui changent le projet</w:t>
      </w:r>
    </w:p>
    <w:p>
      <w:r>
        <w:t>Finalité du logiciel. Documenter la collecte, l’extraction et la synthèse séparément. Un résumé qui sélectionne ou transforme l’information clinique peut relever du dispositif médical selon son usage. « Le médecin valide » et « pas de diagnostic » ne suffisent pas à conclure. Une analyse écrite détermine la voie applicable ; le module concerné reste en essais fictifs tant que ce point n’est pas résolu. [R6]</w:t>
      </w:r>
    </w:p>
    <w:p>
      <w:r>
        <w:t>Données et rôles. Désigner le ou les responsables de traitement selon les décisions réellement prises par les médecins et la structure. Formaliser les prestataires, les finalités, l’article 6 et la condition de l’article 9 du RGPD. Préparation volontaire et consentement RGPD ne sont pas synonymes. Information patient et exercice des droits doivent être accessibles. [R1]</w:t>
      </w:r>
    </w:p>
    <w:p>
      <w:r>
        <w:t>Sécurité. Conduire une AIPD avant le pilote comme choix de projet adapté au risque. Vérifier le périmètre HDS de l’hébergement, de l’administration et des sauvegardes. Un serveur dans les locaux peut encore héberger pour le compte de médecins exerçant en EI : le « compte propre » ne se présume pas. [R2, R5]</w:t>
      </w:r>
    </w:p>
    <w:p>
      <w:r>
        <w:t>IA. Pas de réutilisation des données pour entraîner le produit. Aucun envoi de données cliniques vers une API non qualifiée. Retirer les noms constitue généralement une pseudonymisation, insuffisante pour sortir du RGPD. Informer de l’assistance automatisée et former brièvement les utilisateurs ; qualifier aussi les obligations AI Act applicables. [R3, R4, R7]</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EE5"/>
          <w:left w:val="single" w:sz="4" w:color="D5DEE5"/>
          <w:bottom w:val="single" w:sz="4" w:color="D5DEE5"/>
          <w:right w:val="single" w:sz="4" w:color="D5DEE5"/>
          <w:insideH w:val="single" w:sz="4" w:color="D5DEE5"/>
          <w:insideV w:val="single" w:sz="4" w:color="D5DEE5"/>
        </w:tblBorders>
      </w:tblPr>
      <w:tblGrid>
        <w:gridCol w:w="2300"/>
        <w:gridCol w:w="7060"/>
      </w:tblGrid>
      <w:tr>
        <w:trPr>
          <w:cantSplit/>
          <w:tblHeader/>
        </w:trPr>
        <w:tc>
          <w:tcPr>
            <w:tcW w:type="dxa" w:w="2300"/>
            <w:shd w:fill="F2F4F7"/>
          </w:tcPr>
          <w:p>
            <w:pPr>
              <w:pStyle w:val="TableText"/>
            </w:pPr>
            <w:r>
              <w:rPr>
                <w:b/>
              </w:rPr>
              <w:t>Situation réelle</w:t>
            </w:r>
          </w:p>
        </w:tc>
        <w:tc>
          <w:tcPr>
            <w:tcW w:type="dxa" w:w="7060"/>
            <w:shd w:fill="F2F4F7"/>
          </w:tcPr>
          <w:p>
            <w:pPr>
              <w:pStyle w:val="TableText"/>
            </w:pPr>
            <w:r>
              <w:rPr>
                <w:b/>
              </w:rPr>
              <w:t>Comportement prévu</w:t>
            </w:r>
          </w:p>
        </w:tc>
      </w:tr>
      <w:tr>
        <w:trPr>
          <w:cantSplit/>
        </w:trPr>
        <w:tc>
          <w:tcPr>
            <w:tcW w:type="dxa" w:w="2300"/>
          </w:tcPr>
          <w:p>
            <w:pPr>
              <w:pStyle w:val="TableText"/>
            </w:pPr>
            <w:r>
              <w:t>Homonyme / pièce d’un tiers</w:t>
            </w:r>
          </w:p>
        </w:tc>
        <w:tc>
          <w:tcPr>
            <w:tcW w:type="dxa" w:w="7060"/>
          </w:tcPr>
          <w:p>
            <w:pPr>
              <w:pStyle w:val="TableText"/>
            </w:pPr>
            <w:r>
              <w:t>Aucune fusion automatique ; pièce isolée et vérification avant utilisation. Le code SMS ne suffit pas à rattacher.</w:t>
            </w:r>
          </w:p>
        </w:tc>
      </w:tr>
      <w:tr>
        <w:trPr>
          <w:cantSplit/>
        </w:trPr>
        <w:tc>
          <w:tcPr>
            <w:tcW w:type="dxa" w:w="2300"/>
          </w:tcPr>
          <w:p>
            <w:pPr>
              <w:pStyle w:val="TableText"/>
            </w:pPr>
            <w:r>
              <w:t>Aidant / téléphone partagé</w:t>
            </w:r>
          </w:p>
        </w:tc>
        <w:tc>
          <w:tcPr>
            <w:tcW w:type="dxa" w:w="7060"/>
          </w:tcPr>
          <w:p>
            <w:pPr>
              <w:pStyle w:val="TableText"/>
            </w:pPr>
            <w:r>
              <w:t>Identifier qui dépose et pour qui ; vérifier son rôle par le circuit existant. Cas complexe hors pilote ; aucun accès à l’historique.</w:t>
            </w:r>
          </w:p>
        </w:tc>
      </w:tr>
      <w:tr>
        <w:trPr>
          <w:cantSplit/>
        </w:trPr>
        <w:tc>
          <w:tcPr>
            <w:tcW w:type="dxa" w:w="2300"/>
          </w:tcPr>
          <w:p>
            <w:pPr>
              <w:pStyle w:val="TableText"/>
            </w:pPr>
            <w:r>
              <w:t>Patient non-répondant</w:t>
            </w:r>
          </w:p>
        </w:tc>
        <w:tc>
          <w:tcPr>
            <w:tcW w:type="dxa" w:w="7060"/>
          </w:tcPr>
          <w:p>
            <w:pPr>
              <w:pStyle w:val="TableText"/>
            </w:pPr>
            <w:r>
              <w:t>Consultation habituelle. Aucun appel systématique pour obtenir un formulaire.</w:t>
            </w:r>
          </w:p>
        </w:tc>
      </w:tr>
      <w:tr>
        <w:trPr>
          <w:cantSplit/>
        </w:trPr>
        <w:tc>
          <w:tcPr>
            <w:tcW w:type="dxa" w:w="2300"/>
          </w:tcPr>
          <w:p>
            <w:pPr>
              <w:pStyle w:val="TableText"/>
            </w:pPr>
            <w:r>
              <w:t>Annulation / retard / panne</w:t>
            </w:r>
          </w:p>
        </w:tc>
        <w:tc>
          <w:tcPr>
            <w:tcW w:type="dxa" w:w="7060"/>
          </w:tcPr>
          <w:p>
            <w:pPr>
              <w:pStyle w:val="TableText"/>
            </w:pPr>
            <w:r>
              <w:t>Date corrigée manuellement ; fiche marquée incomplète si besoin ; consultation maintenue selon le fonctionnement habituel.</w:t>
            </w:r>
          </w:p>
        </w:tc>
      </w:tr>
      <w:tr>
        <w:trPr>
          <w:cantSplit/>
        </w:trPr>
        <w:tc>
          <w:tcPr>
            <w:tcW w:type="dxa" w:w="2300"/>
          </w:tcPr>
          <w:p>
            <w:pPr>
              <w:pStyle w:val="TableText"/>
            </w:pPr>
            <w:r>
              <w:t>Message inquiétant lu par l’équipe</w:t>
            </w:r>
          </w:p>
        </w:tc>
        <w:tc>
          <w:tcPr>
            <w:tcW w:type="dxa" w:w="7060"/>
          </w:tcPr>
          <w:p>
            <w:pPr>
              <w:pStyle w:val="TableText"/>
            </w:pPr>
            <w:r>
              <w:t>Appliquer le circuit humain habituel. Aucun triage automatique ni promesse de surveillance continue.</w:t>
            </w:r>
          </w:p>
        </w:tc>
      </w:tr>
      <w:tr>
        <w:trPr>
          <w:cantSplit/>
        </w:trPr>
        <w:tc>
          <w:tcPr>
            <w:tcW w:type="dxa" w:w="2300"/>
          </w:tcPr>
          <w:p>
            <w:pPr>
              <w:pStyle w:val="TableText"/>
            </w:pPr>
            <w:r>
              <w:t>Accès et incident</w:t>
            </w:r>
          </w:p>
        </w:tc>
        <w:tc>
          <w:tcPr>
            <w:tcW w:type="dxa" w:w="7060"/>
          </w:tcPr>
          <w:p>
            <w:pPr>
              <w:pStyle w:val="TableText"/>
            </w:pPr>
            <w:r>
              <w:t>Secrétariat : statuts utiles ; assistante : mission habilitée ; médecin : contenu clinique. Comptes individuels, authentification forte, journal d’accès et procédure d’incident.</w:t>
            </w:r>
          </w:p>
        </w:tc>
      </w:tr>
    </w:tbl>
    <w:p>
      <w:pPr>
        <w:pStyle w:val="Small"/>
      </w:pPr>
      <w:r>
        <w:t>Le test de restauration, l’isolement entre patients, le rattachement et l’absence de données de santé dans les logs sont des critères de mise en service, avec un exploitant nommé. Les métriques du pilote n’emportent pas autorisation de recherche ou de réutilisation secondaire.</w:t>
      </w:r>
    </w:p>
    <w:p>
      <w:pPr>
        <w:pStyle w:val="Kicker"/>
        <w:pageBreakBefore/>
      </w:pPr>
      <w:r>
        <w:t>06  /  EXÉCUTION ET PREUVE</w:t>
      </w:r>
    </w:p>
    <w:p>
      <w:pPr>
        <w:pStyle w:val="PageHeading"/>
      </w:pPr>
      <w:r>
        <w:t>Un parcours testable avant d’élargir</w:t>
      </w:r>
    </w:p>
    <w:p>
      <w:r>
        <w:t>Questionner → supprimer → simplifier → accélérer → automatiser. Première coupe : synchronisation d’agenda, chatbot ouvert, historique exhaustif et double relecture clinique.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EE5"/>
          <w:left w:val="single" w:sz="4" w:color="D5DEE5"/>
          <w:bottom w:val="single" w:sz="4" w:color="D5DEE5"/>
          <w:right w:val="single" w:sz="4" w:color="D5DEE5"/>
          <w:insideH w:val="single" w:sz="4" w:color="D5DEE5"/>
          <w:insideV w:val="single" w:sz="4" w:color="D5DEE5"/>
        </w:tblBorders>
      </w:tblPr>
      <w:tblGrid>
        <w:gridCol w:w="2150"/>
        <w:gridCol w:w="7210"/>
      </w:tblGrid>
      <w:tr>
        <w:trPr>
          <w:cantSplit/>
          <w:tblHeader/>
        </w:trPr>
        <w:tc>
          <w:tcPr>
            <w:tcW w:type="dxa" w:w="2150"/>
            <w:shd w:fill="F2F4F7"/>
          </w:tcPr>
          <w:p>
            <w:pPr>
              <w:pStyle w:val="TableText"/>
            </w:pPr>
            <w:r>
              <w:rPr>
                <w:b/>
              </w:rPr>
              <w:t>Étape</w:t>
            </w:r>
          </w:p>
        </w:tc>
        <w:tc>
          <w:tcPr>
            <w:tcW w:type="dxa" w:w="7210"/>
            <w:shd w:fill="F2F4F7"/>
          </w:tcPr>
          <w:p>
            <w:pPr>
              <w:pStyle w:val="TableText"/>
            </w:pPr>
            <w:r>
              <w:rPr>
                <w:b/>
              </w:rPr>
              <w:t>Livrable et responsable proposé</w:t>
            </w:r>
          </w:p>
        </w:tc>
      </w:tr>
      <w:tr>
        <w:trPr>
          <w:cantSplit/>
        </w:trPr>
        <w:tc>
          <w:tcPr>
            <w:tcW w:type="dxa" w:w="2150"/>
          </w:tcPr>
          <w:p>
            <w:pPr>
              <w:pStyle w:val="TableText"/>
            </w:pPr>
            <w:r>
              <w:t>Première semaine</w:t>
            </w:r>
          </w:p>
        </w:tc>
        <w:tc>
          <w:tcPr>
            <w:tcW w:type="dxa" w:w="7210"/>
          </w:tcPr>
          <w:p>
            <w:pPr>
              <w:pStyle w:val="TableText"/>
            </w:pPr>
            <w:r>
              <w:t>Florian + second médecin + assistante : observer dix préparations habituelles ; mesurer le temps. Vérifier les trois parcours Doctolib et les habilitations avec des identités de test autorisées.</w:t>
            </w:r>
          </w:p>
        </w:tc>
      </w:tr>
      <w:tr>
        <w:trPr>
          <w:cantSplit/>
        </w:trPr>
        <w:tc>
          <w:tcPr>
            <w:tcW w:type="dxa" w:w="2150"/>
          </w:tcPr>
          <w:p>
            <w:pPr>
              <w:pStyle w:val="TableText"/>
            </w:pPr>
            <w:r>
              <w:t>Deuxième semaine</w:t>
            </w:r>
          </w:p>
        </w:tc>
        <w:tc>
          <w:tcPr>
            <w:tcW w:type="dxa" w:w="7210"/>
          </w:tcPr>
          <w:p>
            <w:pPr>
              <w:pStyle w:val="TableText"/>
            </w:pPr>
            <w:r>
              <w:t>Responsable technique : démonstration locale sur dix cas fictifs (récit, pièces, brouillon sourcé, copie). Comparer avec les seules fonctions natives Doctolib.</w:t>
            </w:r>
          </w:p>
        </w:tc>
      </w:tr>
      <w:tr>
        <w:trPr>
          <w:cantSplit/>
        </w:trPr>
        <w:tc>
          <w:tcPr>
            <w:tcW w:type="dxa" w:w="2150"/>
          </w:tcPr>
          <w:p>
            <w:pPr>
              <w:pStyle w:val="TableText"/>
            </w:pPr>
            <w:r>
              <w:t>En parallèle</w:t>
            </w:r>
          </w:p>
        </w:tc>
        <w:tc>
          <w:tcPr>
            <w:tcW w:type="dxa" w:w="7210"/>
          </w:tcPr>
          <w:p>
            <w:pPr>
              <w:pStyle w:val="TableText"/>
            </w:pPr>
            <w:r>
              <w:t>Responsables du traitement et appui spécialisé : qualification, AIPD, information, contrats HDS ; exploitant, budget et procédure de panne. Aucun délai de mise en service réelle promis.</w:t>
            </w:r>
          </w:p>
        </w:tc>
      </w:tr>
      <w:tr>
        <w:trPr>
          <w:cantSplit/>
        </w:trPr>
        <w:tc>
          <w:tcPr>
            <w:tcW w:type="dxa" w:w="2150"/>
          </w:tcPr>
          <w:p>
            <w:pPr>
              <w:pStyle w:val="TableText"/>
            </w:pPr>
            <w:r>
              <w:t>Après ces conditions</w:t>
            </w:r>
          </w:p>
        </w:tc>
        <w:tc>
          <w:tcPr>
            <w:tcW w:type="dxa" w:w="7210"/>
          </w:tcPr>
          <w:p>
            <w:pPr>
              <w:pStyle w:val="TableText"/>
            </w:pPr>
            <w:r>
              <w:t>Pilote limité : deux médecins, environ trente consultations éligibles sur une à deux semaines, comparées à trente situations habituelles comparables. Suivre aussi les non-réponses.</w:t>
            </w:r>
          </w:p>
        </w:tc>
      </w:tr>
      <w:tr>
        <w:trPr>
          <w:cantSplit/>
        </w:trPr>
        <w:tc>
          <w:tcPr>
            <w:tcW w:type="dxa" w:w="2150"/>
          </w:tcPr>
          <w:p>
            <w:pPr>
              <w:pStyle w:val="TableText"/>
            </w:pPr>
            <w:r>
              <w:t>À l’issue du pilote</w:t>
            </w:r>
          </w:p>
        </w:tc>
        <w:tc>
          <w:tcPr>
            <w:tcW w:type="dxa" w:w="7210"/>
          </w:tcPr>
          <w:p>
            <w:pPr>
              <w:pStyle w:val="TableText"/>
            </w:pPr>
            <w:r>
              <w:t>Revue d’équipe : conserver, simplifier ou arrêter. Pas d’extension tant que le gain et le fonctionnement par un médecin autre que Florian ne sont pas démontrés.</w:t>
            </w:r>
          </w:p>
        </w:tc>
      </w:tr>
    </w:tbl>
    <w:p>
      <w:pPr>
        <w:pStyle w:val="Heading2"/>
      </w:pPr>
      <w:r>
        <w:t>Mesurer le coût complet du parcours</w:t>
      </w:r>
    </w:p>
    <w:p>
      <w:r>
        <w:t>Gain net = temps total de préparation habituel − temps total avec TwinCare, tous rôles confondus. Inclure invitation, aide, rapprochement, correction et transfert ; compter les non-réponses et dépôts inutilisables. Suivre le temps patient séparément.</w:t>
      </w:r>
    </w:p>
    <w:p>
      <w:r>
        <w:t>Exemple hypothétique : 120 secondes évitées − 20 d’invitation − 20 de rapprochement − 40 de vérification − 20 de transfert = 20 secondes nettes. Quarante invitations manuelles de 30 secondes coûtent 20 minutes/jour.</w:t>
      </w:r>
    </w:p>
    <w:p>
      <w:pPr>
        <w:pStyle w:val="Heading2"/>
      </w:pPr>
      <w:r>
        <w:t>Seuils de décision proposés</w:t>
      </w:r>
    </w:p>
    <w:p>
      <w:r>
        <w:t>Cibles : gain médian net ≥ 60 secondes ET gain total positif sur toute la cohorte ; usage autonome par le second médecin ; préparation patient médiane ≤ 5 minutes. Relever dépôts exploitables, abandons, aide et coûts. Aucun de ces résultats n’est acquis.</w:t>
      </w:r>
    </w:p>
    <w:p>
      <w:r>
        <w:t>Erreur critique de patient, fuite ou déformation clinique : arrêter la fonction et analyser. Trente cas sans erreur ne prouvent pas une sécurité générale. Si la fonction native suffit, retirer le composant TwinCare inutile.</w:t>
      </w:r>
    </w:p>
    <w:p>
      <w:pPr>
        <w:pStyle w:val="Small"/>
      </w:pPr>
      <w:r>
        <w:t>Budget : devis du sas HDS, SMS, sauvegarde, maintenance et support ; ajouter matériel, développement et qualification. Un modèle local conserve des coûts de calcul et d’exploitation.</w:t>
      </w:r>
    </w:p>
    <w:p>
      <w:pPr>
        <w:pStyle w:val="Kicker"/>
        <w:pageBreakBefore/>
      </w:pPr>
      <w:r>
        <w:t>07  /  CONSIGNES DE PROJET PROPOSÉES</w:t>
      </w:r>
    </w:p>
    <w:p>
      <w:pPr>
        <w:pStyle w:val="PageHeading"/>
      </w:pPr>
      <w:r>
        <w:t>La base pour remettre TwinCare au clair</w:t>
      </w:r>
    </w:p>
    <w:p>
      <w:pPr>
        <w:pStyle w:val="Small"/>
      </w:pPr>
      <w:r>
        <w:t>Texte prêt à reprendre dans le cadrage et les instructions du projet après arbitrage de cette proposition. Il ne vaut pas modification déjà effectuée du dépôt de code ni adoption par les associés.</w:t>
      </w:r>
    </w:p>
    <w:p>
      <w:pPr>
        <w:pStyle w:val="Heading2"/>
      </w:pPr>
      <w:r>
        <w:t>Mission et périmètre</w:t>
      </w:r>
    </w:p>
    <w:p>
      <w:r>
        <w:t>TwinCare prépare une consultation programmée à partir du récit du patient et de documents accessibles. Il fournit un brouillon court, daté, sourcé et corrigeable. Le professionnel décide des informations conservées dans le dossier métier. Le premier utilisateur bénéficiaire est le soignant qui prépare la rencontre ; la charge totale de l’équipe doit diminuer.</w:t>
      </w:r>
    </w:p>
    <w:p>
      <w:r>
        <w:t>La V1 comprend : entrée patient depuis un lien, récit guidé, dépôt ou import ciblé, rapprochement d’identité, extraction locale, restitution sourcée, validation et transfert manuel contrôlé. L’aval, l’environnement, la modélisation prédictive et l’orchestration multi-sites sont différés.</w:t>
      </w:r>
    </w:p>
    <w:p>
      <w:pPr>
        <w:pStyle w:val="Heading2"/>
      </w:pPr>
      <w:r>
        <w:t>Règles qui gouvernent les développements</w:t>
      </w:r>
    </w:p>
    <w:p>
      <w:pPr>
        <w:pStyle w:val="Bullet"/>
        <w:numPr>
          <w:ilvl w:val="0"/>
          <w:numId w:val="70"/>
        </w:numPr>
      </w:pPr>
      <w:r>
        <w:t>Appliquer les cinq étapes dans l’ordre. Chaque fonction précise problème, utilisateur, moment, gain et intégration. Une réponse absente conduit à différer ou supprimer.</w:t>
      </w:r>
    </w:p>
    <w:p>
      <w:pPr>
        <w:pStyle w:val="Bullet"/>
        <w:numPr>
          <w:ilvl w:val="0"/>
          <w:numId w:val="70"/>
        </w:numPr>
      </w:pPr>
      <w:r>
        <w:t>Réutiliser l’existant. Aucun accès Doctolib, DMP ou autre n’est présumé acquis. Vérifier les droits avant de développer un connecteur ou une lecture écran.</w:t>
      </w:r>
    </w:p>
    <w:p>
      <w:pPr>
        <w:pStyle w:val="Bullet"/>
        <w:numPr>
          <w:ilvl w:val="0"/>
          <w:numId w:val="70"/>
        </w:numPr>
      </w:pPr>
      <w:r>
        <w:t>Conserver sources, dates, auteur et validation. Distinguer déclaration, extraction et information validée. Ne jamais inventer une absence, une dose ou une conclusion clinique.</w:t>
      </w:r>
    </w:p>
    <w:p>
      <w:pPr>
        <w:pStyle w:val="Bullet"/>
        <w:numPr>
          <w:ilvl w:val="0"/>
          <w:numId w:val="70"/>
        </w:numPr>
      </w:pPr>
      <w:r>
        <w:t>Privilégier le traitement local et qualifier le dépôt HDS. Définir conservation, suppression, sauvegarde, droits et audit ; aucun contenu clinique dans les logs.</w:t>
      </w:r>
    </w:p>
    <w:p>
      <w:pPr>
        <w:pStyle w:val="Bullet"/>
        <w:numPr>
          <w:ilvl w:val="0"/>
          <w:numId w:val="70"/>
        </w:numPr>
      </w:pPr>
      <w:r>
        <w:t>Séparer interface, API et traitement dans un code typé et lisible. Prévoir les erreurs. Un moteur réutilisable ; aucun service supplémentaire sans besoin démontré.</w:t>
      </w:r>
    </w:p>
    <w:p>
      <w:pPr>
        <w:pStyle w:val="Bullet"/>
        <w:numPr>
          <w:ilvl w:val="0"/>
          <w:numId w:val="70"/>
        </w:numPr>
      </w:pPr>
      <w:r>
        <w:t>Tester d’abord sur données fictives. Avant le réel : qualification, responsabilités, sécurité et exploitation. La validation humaine n’est pas une exemption juridique.</w:t>
      </w:r>
    </w:p>
    <w:p>
      <w:pPr>
        <w:pStyle w:val="Bullet"/>
        <w:numPr>
          <w:ilvl w:val="0"/>
          <w:numId w:val="70"/>
        </w:numPr>
      </w:pPr>
      <w:r>
        <w:t>Mesurer temps net de toute l’équipe et erreurs. Retirer les fonctions inutilisées ou ajoutant des étapes sans bénéfice démontré.</w:t>
      </w:r>
    </w:p>
    <w:p>
      <w:pPr>
        <w:pStyle w:val="Heading2"/>
      </w:pPr>
      <w:r>
        <w:t>Comment reprendre le code et la documentation</w:t>
      </w:r>
    </w:p>
    <w:p>
      <w:r>
        <w:t>Auditer le code avec ce parcours : conserver l’utile, isoler les expériences hors périmètre. Aligner ensuite document de référence, README, consignes et backlog sur un seul cadrage ; conserver les versions précédentes comme historique.</w:t>
      </w:r>
    </w:p>
    <w:p>
      <w:pPr>
        <w:pStyle w:val="Kicker"/>
        <w:pageBreakBefore/>
      </w:pPr>
      <w:r>
        <w:t>RÉFÉRENCES  /  SOURCES CONSULTÉES LE 6 SEPTEMBRE 2026</w:t>
      </w:r>
    </w:p>
    <w:p>
      <w:pPr>
        <w:pStyle w:val="PageHeading"/>
      </w:pPr>
      <w:r>
        <w:t>Ce qui est vérifié et ce qui reste à tester</w:t>
      </w:r>
    </w:p>
    <w:p>
      <w:pPr>
        <w:pStyle w:val="Small"/>
      </w:pPr>
      <w:r>
        <w:t>Point de départ : TwinCare_Synthese_Strategique_Feuille_de_Route_2026-09.docx, proposition du 5 septembre 2026. Les sources publiques ci-dessous étayent les capacités et contraintes ; elles ne prouvent ni les droits du compte local, ni la conformité d’une implémentation future.</w:t>
      </w:r>
    </w:p>
    <w:p>
      <w:pPr>
        <w:pStyle w:val="Source"/>
      </w:pPr>
      <w:r>
        <w:rPr>
          <w:b/>
        </w:rPr>
        <w:t xml:space="preserve">D1  </w:t>
      </w:r>
      <w:hyperlink r:id="rId11">
        <w:r>
          <w:rPr>
            <w:color w:val="2E74B5"/>
          </w:rPr>
          <w:t>Doctolib — Consignes et lien externe</w:t>
        </w:r>
      </w:hyperlink>
      <w:r>
        <w:t xml:space="preserve"> — fonction paramétrable selon agendas et motifs, sur versions payantes.</w:t>
      </w:r>
    </w:p>
    <w:p>
      <w:pPr>
        <w:pStyle w:val="Source"/>
      </w:pPr>
      <w:r>
        <w:rPr>
          <w:b/>
        </w:rPr>
        <w:t xml:space="preserve">D2  </w:t>
      </w:r>
      <w:hyperlink r:id="rId12">
        <w:r>
          <w:rPr>
            <w:color w:val="2E74B5"/>
          </w:rPr>
          <w:t>Doctolib — Notifications et SMS</w:t>
        </w:r>
      </w:hyperlink>
      <w:r>
        <w:t xml:space="preserve"> — ne pas faire dépendre le parcours d’un rappel J−1 universel.</w:t>
      </w:r>
    </w:p>
    <w:p>
      <w:pPr>
        <w:pStyle w:val="Source"/>
      </w:pPr>
      <w:r>
        <w:rPr>
          <w:b/>
        </w:rPr>
        <w:t xml:space="preserve">D2 bis  </w:t>
      </w:r>
      <w:hyperlink r:id="rId13">
        <w:r>
          <w:rPr>
            <w:color w:val="2E74B5"/>
          </w:rPr>
          <w:t>Doctolib — Personnaliser le SMS de rappel</w:t>
        </w:r>
      </w:hyperlink>
      <w:r>
        <w:t xml:space="preserve"> — personnalisations documentées ; pas de garantie d’URL TwinCare libre.</w:t>
      </w:r>
    </w:p>
    <w:p>
      <w:pPr>
        <w:pStyle w:val="Source"/>
      </w:pPr>
      <w:r>
        <w:rPr>
          <w:b/>
        </w:rPr>
        <w:t xml:space="preserve">D3  </w:t>
      </w:r>
      <w:hyperlink r:id="rId14">
        <w:r>
          <w:rPr>
            <w:color w:val="2E74B5"/>
          </w:rPr>
          <w:t>Doctolib — Export des données</w:t>
        </w:r>
      </w:hyperlink>
      <w:r>
        <w:t xml:space="preserve"> — export officiel, à distinguer d’une connexion temps réel.</w:t>
      </w:r>
    </w:p>
    <w:p>
      <w:pPr>
        <w:pStyle w:val="Source"/>
      </w:pPr>
      <w:r>
        <w:rPr>
          <w:b/>
        </w:rPr>
        <w:t xml:space="preserve">D4  </w:t>
      </w:r>
      <w:hyperlink r:id="rId15">
        <w:r>
          <w:rPr>
            <w:color w:val="2E74B5"/>
          </w:rPr>
          <w:t>Doctolib — Documents avant rendez-vous</w:t>
        </w:r>
      </w:hyperlink>
      <w:r>
        <w:t xml:space="preserve"> — collecte native et restrictions d’accès selon le rôle.</w:t>
      </w:r>
    </w:p>
    <w:p>
      <w:pPr>
        <w:pStyle w:val="Source"/>
      </w:pPr>
      <w:r>
        <w:rPr>
          <w:b/>
        </w:rPr>
        <w:t xml:space="preserve">R1  </w:t>
      </w:r>
      <w:hyperlink r:id="rId16">
        <w:r>
          <w:rPr>
            <w:color w:val="2E74B5"/>
          </w:rPr>
          <w:t>CNIL — Professionnels de santé libéraux</w:t>
        </w:r>
      </w:hyperlink>
      <w:r>
        <w:t xml:space="preserve"> — information, sécurité et distinction entre soin et consentement RGPD.</w:t>
      </w:r>
    </w:p>
    <w:p>
      <w:pPr>
        <w:pStyle w:val="Source"/>
      </w:pPr>
      <w:r>
        <w:rPr>
          <w:b/>
        </w:rPr>
        <w:t xml:space="preserve">R1 bis  </w:t>
      </w:r>
      <w:hyperlink r:id="rId17">
        <w:r>
          <w:rPr>
            <w:color w:val="2E74B5"/>
          </w:rPr>
          <w:t>CNIL — Référentiel des cabinets médicaux</w:t>
        </w:r>
      </w:hyperlink>
      <w:r>
        <w:t xml:space="preserve"> — finalités, bases et cadre de référence à adapter au traitement exact.</w:t>
      </w:r>
    </w:p>
    <w:p>
      <w:pPr>
        <w:pStyle w:val="Source"/>
      </w:pPr>
      <w:r>
        <w:rPr>
          <w:b/>
        </w:rPr>
        <w:t xml:space="preserve">R2  </w:t>
      </w:r>
      <w:hyperlink r:id="rId18">
        <w:r>
          <w:rPr>
            <w:color w:val="2E74B5"/>
          </w:rPr>
          <w:t>ANS — Certification HDS</w:t>
        </w:r>
      </w:hyperlink>
      <w:r>
        <w:t xml:space="preserve"> — hébergement, exploitation et périmètre de certification à contrôler.</w:t>
      </w:r>
    </w:p>
    <w:p>
      <w:pPr>
        <w:pStyle w:val="Source"/>
      </w:pPr>
      <w:r>
        <w:rPr>
          <w:b/>
        </w:rPr>
        <w:t xml:space="preserve">R3  </w:t>
      </w:r>
      <w:hyperlink r:id="rId19">
        <w:r>
          <w:rPr>
            <w:color w:val="2E74B5"/>
          </w:rPr>
          <w:t>CNIL — Utilisation d’une IA générative</w:t>
        </w:r>
      </w:hyperlink>
      <w:r>
        <w:t xml:space="preserve"> — déploiement local ou distant et maîtrise des traitements.</w:t>
      </w:r>
    </w:p>
    <w:p>
      <w:pPr>
        <w:pStyle w:val="Source"/>
      </w:pPr>
      <w:r>
        <w:rPr>
          <w:b/>
        </w:rPr>
        <w:t xml:space="preserve">R4  </w:t>
      </w:r>
      <w:hyperlink r:id="rId20">
        <w:r>
          <w:rPr>
            <w:color w:val="2E74B5"/>
          </w:rPr>
          <w:t>CNIL — Anonymisation des données</w:t>
        </w:r>
      </w:hyperlink>
      <w:r>
        <w:t xml:space="preserve"> — une pseudonymisation ne rend pas les données anonymes.</w:t>
      </w:r>
    </w:p>
    <w:p>
      <w:pPr>
        <w:pStyle w:val="Source"/>
      </w:pPr>
      <w:r>
        <w:rPr>
          <w:b/>
        </w:rPr>
        <w:t xml:space="preserve">R5  </w:t>
      </w:r>
      <w:hyperlink r:id="rId21">
        <w:r>
          <w:rPr>
            <w:color w:val="2E74B5"/>
          </w:rPr>
          <w:t>CNIL — Analyse d’impact</w:t>
        </w:r>
      </w:hyperlink>
      <w:r>
        <w:t xml:space="preserve"> — évaluer et traiter les risques avant mise en œuvre.</w:t>
      </w:r>
    </w:p>
    <w:p>
      <w:pPr>
        <w:pStyle w:val="Source"/>
      </w:pPr>
      <w:r>
        <w:rPr>
          <w:b/>
        </w:rPr>
        <w:t xml:space="preserve">R6  </w:t>
      </w:r>
      <w:hyperlink r:id="rId22">
        <w:r>
          <w:rPr>
            <w:color w:val="2E74B5"/>
          </w:rPr>
          <w:t>MDCG 2019-11, révision de juin 2025</w:t>
        </w:r>
      </w:hyperlink>
      <w:r>
        <w:t xml:space="preserve"> — qualification et classification des logiciels médicaux selon leur destination.</w:t>
      </w:r>
    </w:p>
    <w:p>
      <w:pPr>
        <w:pStyle w:val="Source"/>
      </w:pPr>
      <w:r>
        <w:rPr>
          <w:b/>
        </w:rPr>
        <w:t xml:space="preserve">R7  </w:t>
      </w:r>
      <w:hyperlink r:id="rId23">
        <w:r>
          <w:rPr>
            <w:color w:val="2E74B5"/>
          </w:rPr>
          <w:t>Commission européenne — Cadre de l’AI Act</w:t>
        </w:r>
      </w:hyperlink>
      <w:r>
        <w:t xml:space="preserve"> — obligations à déterminer selon le rôle et les fonctions du système ; calendrier à vérifier au lancement.</w:t>
      </w:r>
    </w:p>
    <w:p>
      <w:pPr>
        <w:pStyle w:val="Small"/>
      </w:pPr>
      <w:r>
        <w:t>Points non établis : rendu exact des consignes sur votre compte, rétroactivité sur rendez-vous existants, droits de l’assistante, périmètre des exports futurs, autorisation contractuelle d’une lecture automatisée. Choix proposés : cohortes, architecture, durées, seuils et calendrier de travail.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Proposition de pilote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TWINCARE  /  CONCEPT OPÉRATIONNEL  /  6 SEPTEMBRE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bullet"/>
      <w:lvlText w:val="•"/>
      <w:lvlJc w:val="left"/>
      <w:pPr>
        <w:ind w:left="720" w:hanging="360"/>
        <w:tabs>
          <w:tab w:val="num" w:pos="720"/>
        </w:tabs>
      </w:pPr>
    </w:lvl>
  </w:abstract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172A3A"/>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5166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5166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b/>
      <w:color w:val="0B254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40" w:line="264" w:lineRule="auto"/>
    </w:pPr>
    <w:rPr>
      <w:rFonts w:ascii="Calibri" w:hAnsi="Calibri"/>
      <w:b/>
      <w:color w:val="516675"/>
      <w:sz w:val="18"/>
    </w:rPr>
  </w:style>
  <w:style w:type="paragraph" w:customStyle="1" w:styleId="Small">
    <w:name w:val="Small"/>
    <w:pPr>
      <w:widowControl/>
      <w:spacing w:before="80" w:after="80" w:line="264" w:lineRule="auto"/>
    </w:pPr>
    <w:rPr>
      <w:rFonts w:ascii="Calibri" w:hAnsi="Calibri"/>
      <w:b w:val="0"/>
      <w:color w:val="516675"/>
      <w:sz w:val="18"/>
    </w:rPr>
  </w:style>
  <w:style w:type="paragraph" w:customStyle="1" w:styleId="TableText">
    <w:name w:val="Table Text"/>
    <w:pPr>
      <w:widowControl/>
      <w:spacing w:before="0" w:after="60" w:line="252" w:lineRule="auto"/>
    </w:pPr>
    <w:rPr>
      <w:rFonts w:ascii="Calibri" w:hAnsi="Calibri"/>
      <w:b w:val="0"/>
      <w:color w:val="172A3A"/>
      <w:sz w:val="19"/>
    </w:rPr>
  </w:style>
  <w:style w:type="paragraph" w:customStyle="1" w:styleId="Source">
    <w:name w:val="Source"/>
    <w:pPr>
      <w:widowControl/>
      <w:spacing w:before="0" w:after="120" w:line="252" w:lineRule="auto"/>
    </w:pPr>
    <w:rPr>
      <w:rFonts w:ascii="Calibri" w:hAnsi="Calibri"/>
      <w:b w:val="0"/>
      <w:color w:val="516675"/>
      <w:sz w:val="18"/>
    </w:rPr>
  </w:style>
  <w:style w:type="paragraph" w:customStyle="1" w:styleId="Lead">
    <w:name w:val="Lead"/>
    <w:pPr>
      <w:widowControl/>
      <w:spacing w:before="80" w:after="200" w:line="264" w:lineRule="auto"/>
    </w:pPr>
    <w:rPr>
      <w:rFonts w:ascii="Calibri" w:hAnsi="Calibri"/>
      <w:b/>
      <w:color w:val="0B2545"/>
      <w:sz w:val="24"/>
    </w:rPr>
  </w:style>
  <w:style w:type="paragraph" w:customStyle="1" w:styleId="Bullet">
    <w:name w:val="Bullet"/>
    <w:pPr>
      <w:widowControl/>
      <w:spacing w:before="0" w:after="80" w:line="264" w:lineRule="auto"/>
    </w:pPr>
    <w:rPr>
      <w:rFonts w:ascii="Calibri" w:hAnsi="Calibri"/>
      <w:b w:val="0"/>
      <w:color w:val="172A3A"/>
      <w:sz w:val="22"/>
    </w:rPr>
  </w:style>
  <w:style w:type="paragraph" w:customStyle="1" w:styleId="PageHeading">
    <w:name w:val="Page Heading"/>
    <w:basedOn w:val="Heading1"/>
    <w:pPr>
      <w:keepNext/>
      <w:widowControl/>
      <w:spacing w:before="0" w:after="160" w:line="264" w:lineRule="auto"/>
    </w:pPr>
    <w:rPr>
      <w:rFonts w:ascii="Calibri" w:hAnsi="Calibri"/>
      <w:b/>
      <w:color w:val="2E74B5"/>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tolib.zendesk.com/hc/fr/articles/360054000752-Transmettre-des-consignes-%C3%A0-mes-patients-avant-et-ou-apr%C3%A8s-la-prise-de-rendez-vous" TargetMode="External"/><Relationship Id="rId12" Type="http://schemas.openxmlformats.org/officeDocument/2006/relationships/hyperlink" Target="https://doctolib.zendesk.com/hc/fr/articles/360056017052-Comprendre-quelles-notifications-SMS-e-mail-push-sont-envoy%C3%A9es-%C3%A0-mes-patients" TargetMode="External"/><Relationship Id="rId13" Type="http://schemas.openxmlformats.org/officeDocument/2006/relationships/hyperlink" Target="https://doctolib.zendesk.com/hc/fr/articles/360058834452-Personnaliser-le-SMS-de-rappel-de-rendez-vous" TargetMode="External"/><Relationship Id="rId14" Type="http://schemas.openxmlformats.org/officeDocument/2006/relationships/hyperlink" Target="https://doctolib.zendesk.com/hc/fr/articles/33288343986196-Tout-savoir-sur-l-export-de-mes-donn%C3%A9es" TargetMode="External"/><Relationship Id="rId15" Type="http://schemas.openxmlformats.org/officeDocument/2006/relationships/hyperlink" Target="https://doctolib.zendesk.com/hc/fr/articles/360054532691-Consulter-les-documents-partag%C3%A9s-par-mon-patient-avant-son-rendez-vous" TargetMode="External"/><Relationship Id="rId16" Type="http://schemas.openxmlformats.org/officeDocument/2006/relationships/hyperlink" Target="https://www.cnil.fr/fr/rgpd-et-professionnels-de-sante-liberaux-ce-que-vous-devez-savoir" TargetMode="External"/><Relationship Id="rId17" Type="http://schemas.openxmlformats.org/officeDocument/2006/relationships/hyperlink" Target="https://www.legifrance.gouv.fr/cnil/id/CNILTEXT000042161454/" TargetMode="External"/><Relationship Id="rId18" Type="http://schemas.openxmlformats.org/officeDocument/2006/relationships/hyperlink" Target="https://esante.gouv.fr/produits-services/hds" TargetMode="External"/><Relationship Id="rId19" Type="http://schemas.openxmlformats.org/officeDocument/2006/relationships/hyperlink" Target="https://www.cnil.fr/fr/les-questions-reponses-de-la-cnil-sur-lutilisation-dun-systeme-dia-generative" TargetMode="External"/><Relationship Id="rId20" Type="http://schemas.openxmlformats.org/officeDocument/2006/relationships/hyperlink" Target="https://www.cnil.fr/fr/technologies/lanonymisation-de-donnees-personnelles" TargetMode="External"/><Relationship Id="rId21" Type="http://schemas.openxmlformats.org/officeDocument/2006/relationships/hyperlink" Target="https://www.cnil.fr/fr/RGPD-analyse-impact-protection-des-donnees-aipd" TargetMode="External"/><Relationship Id="rId22" Type="http://schemas.openxmlformats.org/officeDocument/2006/relationships/hyperlink" Target="https://health.ec.europa.eu/document/download/b45335c5-1679-4c71-a91c-fc7a4d37f12b_en?filename=mdcg_2019_11_en.pdf" TargetMode="External"/><Relationship Id="rId23" Type="http://schemas.openxmlformats.org/officeDocument/2006/relationships/hyperlink" Target="https://digital-strategy.ec.europa.eu/en/policies/regulatory-framewor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TwinCare — Concept opérationnel de préparation de consultation</dc:title>
  <dc:subject>Proposition concrète pour les associés ; parcours sans API, données et pilote</dc:subject>
  <dc:creator>Projet TwinCare</dc:creator>
  <cp:keywords>TwinCare, préparation, consultation, local-first, sources, pilote</cp:keywords>
  <dc:description>generated by python-docx</dc:description>
  <cp:lastModifiedBy/>
  <cp:revision>1</cp:revision>
  <dcterms:created xsi:type="dcterms:W3CDTF">2013-12-23T23:15:00Z</dcterms:created>
  <dcterms:modified xsi:type="dcterms:W3CDTF">2013-12-23T23:15:00Z</dcterms:modified>
  <cp:category/>
</cp:coreProperties>
</file>