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F10B2" w14:textId="745BEC9C" w:rsidR="00C470CC" w:rsidRPr="00C470CC" w:rsidRDefault="00131342" w:rsidP="00C470CC">
      <w:pPr>
        <w:rPr>
          <w:sz w:val="40"/>
        </w:rPr>
      </w:pPr>
      <w:bookmarkStart w:id="0" w:name="_GoBack"/>
      <w:bookmarkEnd w:id="0"/>
      <w:r w:rsidRPr="00131342">
        <w:rPr>
          <w:rFonts w:cs="Arial"/>
          <w:sz w:val="40"/>
        </w:rPr>
        <w:t>Hea</w:t>
      </w:r>
      <w:r>
        <w:rPr>
          <w:rFonts w:cs="Arial"/>
          <w:sz w:val="40"/>
        </w:rPr>
        <w:t>lth Information Exchange</w:t>
      </w:r>
      <w:r w:rsidRPr="00131342">
        <w:rPr>
          <w:rFonts w:cs="Arial"/>
          <w:sz w:val="40"/>
        </w:rPr>
        <w:t xml:space="preserve"> </w:t>
      </w:r>
      <w:r w:rsidR="00C470CC" w:rsidRPr="00C470CC">
        <w:rPr>
          <w:rFonts w:cs="Arial"/>
          <w:sz w:val="40"/>
        </w:rPr>
        <w:t>Assessment Codebook</w:t>
      </w:r>
    </w:p>
    <w:p w14:paraId="41503BC1" w14:textId="7AAC03F8" w:rsidR="00C470CC" w:rsidRPr="00C470CC" w:rsidRDefault="00C470CC" w:rsidP="00C470CC">
      <w:pPr>
        <w:pStyle w:val="Default"/>
        <w:rPr>
          <w:sz w:val="18"/>
          <w:szCs w:val="23"/>
        </w:rPr>
      </w:pPr>
      <w:r>
        <w:rPr>
          <w:sz w:val="18"/>
          <w:szCs w:val="23"/>
        </w:rPr>
        <w:t xml:space="preserve">This codebook describes the variables in a dataset that examines variation in state laws relating to </w:t>
      </w:r>
      <w:r w:rsidR="00E345FB">
        <w:rPr>
          <w:sz w:val="18"/>
          <w:szCs w:val="23"/>
        </w:rPr>
        <w:t>h</w:t>
      </w:r>
      <w:r>
        <w:rPr>
          <w:sz w:val="18"/>
          <w:szCs w:val="23"/>
        </w:rPr>
        <w:t xml:space="preserve">ealth </w:t>
      </w:r>
      <w:r w:rsidR="00E345FB">
        <w:rPr>
          <w:sz w:val="18"/>
          <w:szCs w:val="23"/>
        </w:rPr>
        <w:t>i</w:t>
      </w:r>
      <w:r>
        <w:rPr>
          <w:sz w:val="18"/>
          <w:szCs w:val="23"/>
        </w:rPr>
        <w:t xml:space="preserve">nformation </w:t>
      </w:r>
      <w:r w:rsidR="00E345FB">
        <w:rPr>
          <w:sz w:val="18"/>
          <w:szCs w:val="23"/>
        </w:rPr>
        <w:t>e</w:t>
      </w:r>
      <w:r>
        <w:rPr>
          <w:sz w:val="18"/>
          <w:szCs w:val="23"/>
        </w:rPr>
        <w:t>xchanges</w:t>
      </w:r>
      <w:r w:rsidR="00E345FB">
        <w:rPr>
          <w:sz w:val="18"/>
          <w:szCs w:val="23"/>
        </w:rPr>
        <w:t xml:space="preserve"> (HIEs)</w:t>
      </w:r>
      <w:r>
        <w:rPr>
          <w:sz w:val="18"/>
          <w:szCs w:val="23"/>
        </w:rPr>
        <w:t>. This dataset includes laws in effect on June 7, 2016. The jurisdictions selected for measurement are the 50 states, US territories, and the District of Columbia.</w:t>
      </w:r>
    </w:p>
    <w:tbl>
      <w:tblPr>
        <w:tblStyle w:val="TableGridLight1"/>
        <w:tblpPr w:leftFromText="180" w:rightFromText="180" w:vertAnchor="page" w:horzAnchor="margin" w:tblpY="977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2639"/>
        <w:gridCol w:w="2542"/>
        <w:gridCol w:w="2160"/>
      </w:tblGrid>
      <w:tr w:rsidR="00211020" w14:paraId="34D30A31" w14:textId="77777777" w:rsidTr="00131342">
        <w:tc>
          <w:tcPr>
            <w:tcW w:w="10345" w:type="dxa"/>
            <w:gridSpan w:val="4"/>
            <w:shd w:val="clear" w:color="auto" w:fill="9BBB59" w:themeFill="accent3"/>
          </w:tcPr>
          <w:p w14:paraId="3E1132B4" w14:textId="77777777" w:rsidR="00211020" w:rsidRPr="00582556" w:rsidRDefault="00211020" w:rsidP="00582556">
            <w:pPr>
              <w:jc w:val="center"/>
              <w:rPr>
                <w:sz w:val="36"/>
                <w:szCs w:val="20"/>
              </w:rPr>
            </w:pPr>
            <w:r w:rsidRPr="0064501F">
              <w:rPr>
                <w:sz w:val="40"/>
                <w:szCs w:val="20"/>
              </w:rPr>
              <w:lastRenderedPageBreak/>
              <w:t>HIE Governance</w:t>
            </w:r>
          </w:p>
        </w:tc>
      </w:tr>
      <w:tr w:rsidR="00582556" w:rsidRPr="00582556" w14:paraId="3CDCEF71" w14:textId="77777777" w:rsidTr="00131342">
        <w:tc>
          <w:tcPr>
            <w:tcW w:w="3004" w:type="dxa"/>
          </w:tcPr>
          <w:p w14:paraId="1F3ADBBC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Variable Name</w:t>
            </w:r>
          </w:p>
        </w:tc>
        <w:tc>
          <w:tcPr>
            <w:tcW w:w="2639" w:type="dxa"/>
          </w:tcPr>
          <w:p w14:paraId="300C7E49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Question</w:t>
            </w:r>
          </w:p>
        </w:tc>
        <w:tc>
          <w:tcPr>
            <w:tcW w:w="2542" w:type="dxa"/>
          </w:tcPr>
          <w:p w14:paraId="6A5578D4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Answer Options</w:t>
            </w:r>
          </w:p>
        </w:tc>
        <w:tc>
          <w:tcPr>
            <w:tcW w:w="2160" w:type="dxa"/>
          </w:tcPr>
          <w:p w14:paraId="6C0953B3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Dataset </w:t>
            </w:r>
            <w:r w:rsidRPr="00582556">
              <w:rPr>
                <w:rFonts w:ascii="Calibri" w:hAnsi="Calibri"/>
                <w:color w:val="000000"/>
              </w:rPr>
              <w:t>Value</w:t>
            </w:r>
          </w:p>
        </w:tc>
      </w:tr>
      <w:tr w:rsidR="00211020" w14:paraId="705B093F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02DA8DCF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G_StateW</w:t>
            </w:r>
          </w:p>
        </w:tc>
        <w:tc>
          <w:tcPr>
            <w:tcW w:w="2639" w:type="dxa"/>
            <w:shd w:val="clear" w:color="auto" w:fill="9BBB59" w:themeFill="accent3"/>
          </w:tcPr>
          <w:p w14:paraId="157EE3D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authorize implementation of a statewide HIE?</w:t>
            </w:r>
          </w:p>
        </w:tc>
        <w:tc>
          <w:tcPr>
            <w:tcW w:w="2542" w:type="dxa"/>
            <w:shd w:val="clear" w:color="auto" w:fill="9BBB59" w:themeFill="accent3"/>
          </w:tcPr>
          <w:p w14:paraId="3FF6837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F1D97E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D5A9EC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9BBB59" w:themeFill="accent3"/>
          </w:tcPr>
          <w:p w14:paraId="7889914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096527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1E66FC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25AE9647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6F7E9B90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G_StateW_Ctrl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6722CFE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Who retains control over the statewide HIE’s operations?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3D8DF29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State entity</w:t>
            </w:r>
          </w:p>
          <w:p w14:paraId="09A0240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State-designated entity</w:t>
            </w:r>
            <w:r w:rsidR="00684BCF">
              <w:rPr>
                <w:sz w:val="20"/>
                <w:szCs w:val="20"/>
              </w:rPr>
              <w:t xml:space="preserve"> (SDE)</w:t>
            </w:r>
          </w:p>
          <w:p w14:paraId="5F9321F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State option to control</w:t>
            </w:r>
          </w:p>
          <w:p w14:paraId="2A8A0EFE" w14:textId="1E8DBE84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E345FB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0D6DE41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4BD41A9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230C598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BD3B85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D79E219" w14:textId="77777777" w:rsidR="00131342" w:rsidRDefault="00131342" w:rsidP="00211020">
            <w:pPr>
              <w:rPr>
                <w:sz w:val="20"/>
                <w:szCs w:val="20"/>
              </w:rPr>
            </w:pPr>
          </w:p>
          <w:p w14:paraId="74536D5E" w14:textId="3ED28660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3F979CD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668E15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  <w:p w14:paraId="7098818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6</w:t>
            </w:r>
          </w:p>
        </w:tc>
      </w:tr>
      <w:tr w:rsidR="00211020" w14:paraId="40B611FB" w14:textId="77777777" w:rsidTr="00131342">
        <w:tc>
          <w:tcPr>
            <w:tcW w:w="3004" w:type="dxa"/>
            <w:shd w:val="clear" w:color="auto" w:fill="D6E3BC" w:themeFill="accent3" w:themeFillTint="66"/>
            <w:vAlign w:val="bottom"/>
          </w:tcPr>
          <w:p w14:paraId="35C7E11C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G_StateW_Ctrl_SDE_nonProfit</w:t>
            </w:r>
          </w:p>
        </w:tc>
        <w:tc>
          <w:tcPr>
            <w:tcW w:w="2639" w:type="dxa"/>
            <w:shd w:val="clear" w:color="auto" w:fill="D6E3BC" w:themeFill="accent3" w:themeFillTint="66"/>
          </w:tcPr>
          <w:p w14:paraId="5013B54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5330B7">
              <w:rPr>
                <w:sz w:val="20"/>
                <w:szCs w:val="20"/>
              </w:rPr>
              <w:t>If a</w:t>
            </w:r>
            <w:r w:rsidR="00684BCF">
              <w:rPr>
                <w:sz w:val="20"/>
                <w:szCs w:val="20"/>
              </w:rPr>
              <w:t>n</w:t>
            </w:r>
            <w:r w:rsidRPr="005330B7">
              <w:rPr>
                <w:sz w:val="20"/>
                <w:szCs w:val="20"/>
              </w:rPr>
              <w:t xml:space="preserve"> SDE controls the operation of the statewide HIE, is it required or authorized to function as a nonprofit corporation?</w:t>
            </w:r>
          </w:p>
        </w:tc>
        <w:tc>
          <w:tcPr>
            <w:tcW w:w="2542" w:type="dxa"/>
            <w:shd w:val="clear" w:color="auto" w:fill="D6E3BC" w:themeFill="accent3" w:themeFillTint="66"/>
          </w:tcPr>
          <w:p w14:paraId="1F1F4BC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0EAACDF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9AD1B5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0FE5D1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D6E3BC" w:themeFill="accent3" w:themeFillTint="66"/>
          </w:tcPr>
          <w:p w14:paraId="0946846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7151B0E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5FCF0E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3B1A28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6C0B2D78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23DC8F58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G_PartAgree</w:t>
            </w:r>
          </w:p>
        </w:tc>
        <w:tc>
          <w:tcPr>
            <w:tcW w:w="2639" w:type="dxa"/>
            <w:shd w:val="clear" w:color="auto" w:fill="9BBB59" w:themeFill="accent3"/>
          </w:tcPr>
          <w:p w14:paraId="5F73EF8B" w14:textId="34BE6022" w:rsidR="00211020" w:rsidRPr="00D739CB" w:rsidRDefault="00211020" w:rsidP="00131342">
            <w:pPr>
              <w:rPr>
                <w:sz w:val="20"/>
                <w:szCs w:val="20"/>
              </w:rPr>
            </w:pPr>
            <w:r w:rsidRPr="00942651">
              <w:t xml:space="preserve">Does the law require HIE participants to enter into participation agreements or </w:t>
            </w:r>
            <w:r w:rsidR="00131342">
              <w:t>business associate agreements</w:t>
            </w:r>
            <w:r w:rsidRPr="00942651">
              <w:t xml:space="preserve"> with the HIE/HIO?</w:t>
            </w:r>
          </w:p>
        </w:tc>
        <w:tc>
          <w:tcPr>
            <w:tcW w:w="2542" w:type="dxa"/>
            <w:shd w:val="clear" w:color="auto" w:fill="9BBB59" w:themeFill="accent3"/>
          </w:tcPr>
          <w:p w14:paraId="7DB999C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544CA7C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1BCC6FC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0CE8146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9BBB59" w:themeFill="accent3"/>
          </w:tcPr>
          <w:p w14:paraId="3E62C23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DC10D1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2213C0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7007887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4C32E110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03DC58B2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Incentives</w:t>
            </w:r>
          </w:p>
        </w:tc>
        <w:tc>
          <w:tcPr>
            <w:tcW w:w="2639" w:type="dxa"/>
            <w:shd w:val="clear" w:color="auto" w:fill="9BBB59" w:themeFill="accent3"/>
          </w:tcPr>
          <w:p w14:paraId="37436122" w14:textId="067AC1DC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 xml:space="preserve">Does the law incentivize HIE </w:t>
            </w:r>
            <w:r w:rsidR="00E345FB">
              <w:t>p</w:t>
            </w:r>
            <w:r w:rsidRPr="00942651">
              <w:t>articipation (excluding funds to be spent solely on HIE creation or implementation)?</w:t>
            </w:r>
          </w:p>
        </w:tc>
        <w:tc>
          <w:tcPr>
            <w:tcW w:w="2542" w:type="dxa"/>
            <w:shd w:val="clear" w:color="auto" w:fill="9BBB59" w:themeFill="accent3"/>
          </w:tcPr>
          <w:p w14:paraId="2EF21F3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Financial</w:t>
            </w:r>
          </w:p>
          <w:p w14:paraId="19A4F806" w14:textId="2E6BCFAB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Nonfinancial</w:t>
            </w:r>
          </w:p>
          <w:p w14:paraId="68CBACA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Both</w:t>
            </w:r>
          </w:p>
          <w:p w14:paraId="68AAB45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None</w:t>
            </w:r>
          </w:p>
        </w:tc>
        <w:tc>
          <w:tcPr>
            <w:tcW w:w="2160" w:type="dxa"/>
            <w:shd w:val="clear" w:color="auto" w:fill="9BBB59" w:themeFill="accent3"/>
          </w:tcPr>
          <w:p w14:paraId="77D65B1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7571F64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002933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6DD62AB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6EA9A65A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56F1106E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G_Oversight</w:t>
            </w:r>
          </w:p>
        </w:tc>
        <w:tc>
          <w:tcPr>
            <w:tcW w:w="2639" w:type="dxa"/>
            <w:shd w:val="clear" w:color="auto" w:fill="9BBB59" w:themeFill="accent3"/>
          </w:tcPr>
          <w:p w14:paraId="7910423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Is there an entity with oversight responsibilities for the HIE?</w:t>
            </w:r>
          </w:p>
        </w:tc>
        <w:tc>
          <w:tcPr>
            <w:tcW w:w="2542" w:type="dxa"/>
            <w:shd w:val="clear" w:color="auto" w:fill="9BBB59" w:themeFill="accent3"/>
          </w:tcPr>
          <w:p w14:paraId="7FC86A2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69C587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76FABD6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9BBB59" w:themeFill="accent3"/>
          </w:tcPr>
          <w:p w14:paraId="0C40C8A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C5F476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E43EB6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4552FAA6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7D5FBAC9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G_Oversight_Rules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5C8DA70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 xml:space="preserve">Is the state entity authorized to promulgate rules and regulations pertaining to </w:t>
            </w:r>
            <w:r w:rsidR="00E345FB">
              <w:t xml:space="preserve">the </w:t>
            </w:r>
            <w:r w:rsidRPr="00942651">
              <w:t>HIE?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414DBB0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5E0D665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31D080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4BC9D34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18BA2ED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9A4D4B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38130B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0E35E9B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0DACEF08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1B6699DC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G_Oversight_Resolve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4A29417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 xml:space="preserve">Is the oversight entity authorized to resolve disputes and/or levy administrative penalties related to </w:t>
            </w:r>
            <w:r w:rsidR="00E345FB">
              <w:t xml:space="preserve">the </w:t>
            </w:r>
            <w:r w:rsidRPr="00942651">
              <w:t>HIE?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2BC098E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16B7356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0D89906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176B32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71C3241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64DB45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E0D64C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72DFC59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28EC039C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3E5AB509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G_Oversight_AdvisB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38DFFDC6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authorize the creation of committees or advisory boards to assist the oversight entity?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0417772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13433EC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15CB4A4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32EE642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7E8539D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80972E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D89FAE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16C75B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1C658E10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01533844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G_Oversight_Cert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70A22BD8" w14:textId="174F94A5" w:rsidR="00211020" w:rsidRPr="00D739CB" w:rsidRDefault="00211020" w:rsidP="00131342">
            <w:pPr>
              <w:rPr>
                <w:sz w:val="20"/>
                <w:szCs w:val="20"/>
              </w:rPr>
            </w:pPr>
            <w:r w:rsidRPr="00942651">
              <w:t>Does the law require a HIE</w:t>
            </w:r>
            <w:r w:rsidR="00131342">
              <w:t xml:space="preserve"> or health information organization</w:t>
            </w:r>
            <w:r w:rsidRPr="00942651">
              <w:t xml:space="preserve"> to be certified as a prerequisite to operation?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1878DE9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FFFA25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3D04B86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9223EF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31D6B93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58C360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F020D4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CC428F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6ED1B278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7F07C3F7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G_Oversight_Stand</w:t>
            </w:r>
          </w:p>
        </w:tc>
        <w:tc>
          <w:tcPr>
            <w:tcW w:w="2639" w:type="dxa"/>
            <w:shd w:val="clear" w:color="auto" w:fill="9BBB59" w:themeFill="accent3"/>
          </w:tcPr>
          <w:p w14:paraId="67F5D7D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require HIE participants to meet certain technical and/or interoperability standards?</w:t>
            </w:r>
          </w:p>
        </w:tc>
        <w:tc>
          <w:tcPr>
            <w:tcW w:w="2542" w:type="dxa"/>
            <w:shd w:val="clear" w:color="auto" w:fill="9BBB59" w:themeFill="accent3"/>
          </w:tcPr>
          <w:p w14:paraId="5D66F9F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528FAFC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6D5635B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9BBB59" w:themeFill="accent3"/>
          </w:tcPr>
          <w:p w14:paraId="1F58571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B121FD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15C591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5AC266C2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7DB8A8DD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G_Oversight_Compl</w:t>
            </w:r>
          </w:p>
        </w:tc>
        <w:tc>
          <w:tcPr>
            <w:tcW w:w="2639" w:type="dxa"/>
            <w:shd w:val="clear" w:color="auto" w:fill="9BBB59" w:themeFill="accent3"/>
          </w:tcPr>
          <w:p w14:paraId="30332F7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set forth a complaint mechanism for patients or HIE participants for adverse events related to the HIE?</w:t>
            </w:r>
          </w:p>
        </w:tc>
        <w:tc>
          <w:tcPr>
            <w:tcW w:w="2542" w:type="dxa"/>
            <w:shd w:val="clear" w:color="auto" w:fill="9BBB59" w:themeFill="accent3"/>
          </w:tcPr>
          <w:p w14:paraId="36B14BA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AAF90C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C51A64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3644A3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9BBB59" w:themeFill="accent3"/>
          </w:tcPr>
          <w:p w14:paraId="698096D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528AFF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4F39776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10063F9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3DDAEA6D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6EED17AF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G_Transparancy</w:t>
            </w:r>
          </w:p>
        </w:tc>
        <w:tc>
          <w:tcPr>
            <w:tcW w:w="2639" w:type="dxa"/>
            <w:shd w:val="clear" w:color="auto" w:fill="9BBB59" w:themeFill="accent3"/>
          </w:tcPr>
          <w:p w14:paraId="18B2946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include provisions addressing public transparency of HIE activities, including but not limited to public participation in HIE policy and public disclosures of HIE policies, operations, and activities?</w:t>
            </w:r>
          </w:p>
        </w:tc>
        <w:tc>
          <w:tcPr>
            <w:tcW w:w="2542" w:type="dxa"/>
            <w:shd w:val="clear" w:color="auto" w:fill="9BBB59" w:themeFill="accent3"/>
          </w:tcPr>
          <w:p w14:paraId="15F408C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E00F66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15F9DE4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9BBB59" w:themeFill="accent3"/>
          </w:tcPr>
          <w:p w14:paraId="2DD041B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976357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6ED04B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2EC8C801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12601A70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G_Transparancy_Eff</w:t>
            </w:r>
          </w:p>
        </w:tc>
        <w:tc>
          <w:tcPr>
            <w:tcW w:w="2639" w:type="dxa"/>
            <w:shd w:val="clear" w:color="auto" w:fill="9BBB59" w:themeFill="accent3"/>
          </w:tcPr>
          <w:p w14:paraId="0BE2EF1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provide authority to a state entity for the evaluation or measurement</w:t>
            </w:r>
            <w:r w:rsidR="00B649BE">
              <w:t xml:space="preserve"> of</w:t>
            </w:r>
            <w:r w:rsidRPr="00942651">
              <w:t xml:space="preserve"> the HIE’s effectiveness?</w:t>
            </w:r>
          </w:p>
        </w:tc>
        <w:tc>
          <w:tcPr>
            <w:tcW w:w="2542" w:type="dxa"/>
            <w:shd w:val="clear" w:color="auto" w:fill="9BBB59" w:themeFill="accent3"/>
          </w:tcPr>
          <w:p w14:paraId="1BFA116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379848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7DE74D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9BBB59" w:themeFill="accent3"/>
          </w:tcPr>
          <w:p w14:paraId="3C35BD6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74B06CC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F496C3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26A2ECD6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67ADA248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G_Transparancy_Eff_Rep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0B378EC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Is the HIE required to submit reports to the public or legislature on its operations?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6D6D5456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1649649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18A5171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073176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2A55D30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98CF8F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0375A7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16967F6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7995BD36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536493B9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G_Transparancy_Eff_Aud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5484131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provide authority to a state entity for auditing HIE operations?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69DC84D6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BE0E3C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0D8F219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470743B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7CBE8CD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52EE70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36100C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1B67D65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6254DF46" w14:textId="77777777" w:rsidTr="00131342">
        <w:tc>
          <w:tcPr>
            <w:tcW w:w="3004" w:type="dxa"/>
            <w:shd w:val="clear" w:color="auto" w:fill="9BBB59" w:themeFill="accent3"/>
            <w:vAlign w:val="bottom"/>
          </w:tcPr>
          <w:p w14:paraId="0088AE04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G_Ownership</w:t>
            </w:r>
          </w:p>
        </w:tc>
        <w:tc>
          <w:tcPr>
            <w:tcW w:w="2639" w:type="dxa"/>
            <w:shd w:val="clear" w:color="auto" w:fill="9BBB59" w:themeFill="accent3"/>
          </w:tcPr>
          <w:p w14:paraId="16888A6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942651">
              <w:t>Does the law address the ownership of data disclosed to the HIE?</w:t>
            </w:r>
          </w:p>
        </w:tc>
        <w:tc>
          <w:tcPr>
            <w:tcW w:w="2542" w:type="dxa"/>
            <w:shd w:val="clear" w:color="auto" w:fill="9BBB59" w:themeFill="accent3"/>
          </w:tcPr>
          <w:p w14:paraId="0F33293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38C0784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AD44AA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9BBB59" w:themeFill="accent3"/>
          </w:tcPr>
          <w:p w14:paraId="4D41941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7DABD2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D982F2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6151D1B1" w14:textId="77777777" w:rsidTr="00131342">
        <w:tc>
          <w:tcPr>
            <w:tcW w:w="3004" w:type="dxa"/>
            <w:shd w:val="clear" w:color="auto" w:fill="C2D69B" w:themeFill="accent3" w:themeFillTint="99"/>
            <w:vAlign w:val="bottom"/>
          </w:tcPr>
          <w:p w14:paraId="6D067BE9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G_Ownership_Prop</w:t>
            </w:r>
          </w:p>
        </w:tc>
        <w:tc>
          <w:tcPr>
            <w:tcW w:w="2639" w:type="dxa"/>
            <w:shd w:val="clear" w:color="auto" w:fill="C2D69B" w:themeFill="accent3" w:themeFillTint="99"/>
          </w:tcPr>
          <w:p w14:paraId="2CCC80AC" w14:textId="630647BE" w:rsidR="00211020" w:rsidRPr="00D739CB" w:rsidRDefault="00211020" w:rsidP="00684BCF">
            <w:pPr>
              <w:rPr>
                <w:sz w:val="20"/>
                <w:szCs w:val="20"/>
              </w:rPr>
            </w:pPr>
            <w:r w:rsidRPr="00942651">
              <w:t xml:space="preserve">Do entities contributing to the HIE retain a property right/ownership interest over </w:t>
            </w:r>
            <w:r w:rsidR="00B649BE">
              <w:t>those</w:t>
            </w:r>
            <w:r w:rsidR="00B649BE" w:rsidRPr="00942651">
              <w:t xml:space="preserve"> </w:t>
            </w:r>
            <w:r w:rsidRPr="00942651">
              <w:t>data?</w:t>
            </w:r>
          </w:p>
        </w:tc>
        <w:tc>
          <w:tcPr>
            <w:tcW w:w="2542" w:type="dxa"/>
            <w:shd w:val="clear" w:color="auto" w:fill="C2D69B" w:themeFill="accent3" w:themeFillTint="99"/>
          </w:tcPr>
          <w:p w14:paraId="3C71170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598D71D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2255EA9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5515DC1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42A8C5B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FB56D7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E348D3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119AEC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55CBF2C0" w14:textId="77777777" w:rsidTr="00131342">
        <w:tc>
          <w:tcPr>
            <w:tcW w:w="3004" w:type="dxa"/>
            <w:shd w:val="clear" w:color="auto" w:fill="D6E3BC" w:themeFill="accent3" w:themeFillTint="66"/>
            <w:vAlign w:val="bottom"/>
          </w:tcPr>
          <w:p w14:paraId="1AE65A41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G_Ownership_Prop_HIE</w:t>
            </w:r>
          </w:p>
        </w:tc>
        <w:tc>
          <w:tcPr>
            <w:tcW w:w="2639" w:type="dxa"/>
            <w:shd w:val="clear" w:color="auto" w:fill="D6E3BC" w:themeFill="accent3" w:themeFillTint="66"/>
          </w:tcPr>
          <w:p w14:paraId="1221391F" w14:textId="77777777" w:rsidR="00211020" w:rsidRPr="005330B7" w:rsidRDefault="00211020" w:rsidP="00211020">
            <w:pPr>
              <w:rPr>
                <w:i/>
                <w:sz w:val="20"/>
                <w:szCs w:val="20"/>
              </w:rPr>
            </w:pPr>
            <w:r w:rsidRPr="005330B7">
              <w:rPr>
                <w:rStyle w:val="Emphasis"/>
                <w:i w:val="0"/>
              </w:rPr>
              <w:t>Does the HIE acquire an ownership interest of submitted data?</w:t>
            </w:r>
          </w:p>
        </w:tc>
        <w:tc>
          <w:tcPr>
            <w:tcW w:w="2542" w:type="dxa"/>
            <w:shd w:val="clear" w:color="auto" w:fill="D6E3BC" w:themeFill="accent3" w:themeFillTint="66"/>
          </w:tcPr>
          <w:p w14:paraId="1F99150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EC7B0C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DD5FEA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5978BF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D6E3BC" w:themeFill="accent3" w:themeFillTint="66"/>
          </w:tcPr>
          <w:p w14:paraId="51E12BC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4659D2E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EFCBEA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12C267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266777D8" w14:textId="77777777" w:rsidTr="00131342">
        <w:tc>
          <w:tcPr>
            <w:tcW w:w="10345" w:type="dxa"/>
            <w:gridSpan w:val="4"/>
            <w:shd w:val="clear" w:color="auto" w:fill="8064A2" w:themeFill="accent4"/>
            <w:vAlign w:val="bottom"/>
          </w:tcPr>
          <w:p w14:paraId="0C2C9BF3" w14:textId="77777777" w:rsidR="00582556" w:rsidRPr="0064501F" w:rsidRDefault="00582556" w:rsidP="0064501F">
            <w:pPr>
              <w:jc w:val="center"/>
              <w:rPr>
                <w:sz w:val="40"/>
                <w:szCs w:val="20"/>
              </w:rPr>
            </w:pPr>
            <w:r w:rsidRPr="0064501F">
              <w:rPr>
                <w:sz w:val="40"/>
                <w:szCs w:val="20"/>
              </w:rPr>
              <w:t>HIE Participants and Uses</w:t>
            </w:r>
          </w:p>
        </w:tc>
      </w:tr>
      <w:tr w:rsidR="00582556" w:rsidRPr="00582556" w14:paraId="264624D7" w14:textId="77777777" w:rsidTr="00131342">
        <w:tc>
          <w:tcPr>
            <w:tcW w:w="3004" w:type="dxa"/>
          </w:tcPr>
          <w:p w14:paraId="6A6D66A5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Variable Name</w:t>
            </w:r>
          </w:p>
        </w:tc>
        <w:tc>
          <w:tcPr>
            <w:tcW w:w="2639" w:type="dxa"/>
          </w:tcPr>
          <w:p w14:paraId="0207A53B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Question</w:t>
            </w:r>
          </w:p>
        </w:tc>
        <w:tc>
          <w:tcPr>
            <w:tcW w:w="2542" w:type="dxa"/>
          </w:tcPr>
          <w:p w14:paraId="7A5A8160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Answer Options</w:t>
            </w:r>
          </w:p>
        </w:tc>
        <w:tc>
          <w:tcPr>
            <w:tcW w:w="2160" w:type="dxa"/>
          </w:tcPr>
          <w:p w14:paraId="7D2241E0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Dataset</w:t>
            </w:r>
            <w:r w:rsidRPr="00582556">
              <w:rPr>
                <w:rFonts w:ascii="Calibri" w:hAnsi="Calibri"/>
                <w:color w:val="000000"/>
              </w:rPr>
              <w:t xml:space="preserve"> Value</w:t>
            </w:r>
          </w:p>
        </w:tc>
      </w:tr>
      <w:tr w:rsidR="00211020" w14:paraId="5D67B1AC" w14:textId="77777777" w:rsidTr="00131342">
        <w:tc>
          <w:tcPr>
            <w:tcW w:w="3004" w:type="dxa"/>
            <w:shd w:val="clear" w:color="auto" w:fill="8064A2" w:themeFill="accent4"/>
            <w:vAlign w:val="bottom"/>
          </w:tcPr>
          <w:p w14:paraId="6C000653" w14:textId="77777777" w:rsidR="00211020" w:rsidRDefault="00582556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</w:t>
            </w:r>
          </w:p>
        </w:tc>
        <w:tc>
          <w:tcPr>
            <w:tcW w:w="2639" w:type="dxa"/>
            <w:shd w:val="clear" w:color="auto" w:fill="8064A2" w:themeFill="accent4"/>
          </w:tcPr>
          <w:p w14:paraId="57FF7D2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>
              <w:t xml:space="preserve">Does the law specify the users and uses of </w:t>
            </w:r>
            <w:r w:rsidR="00B649BE">
              <w:t xml:space="preserve">the </w:t>
            </w:r>
            <w:r>
              <w:t>HIE?</w:t>
            </w:r>
          </w:p>
        </w:tc>
        <w:tc>
          <w:tcPr>
            <w:tcW w:w="2542" w:type="dxa"/>
            <w:shd w:val="clear" w:color="auto" w:fill="8064A2" w:themeFill="accent4"/>
          </w:tcPr>
          <w:p w14:paraId="7F71740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3E7CD3C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5D4A1B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8064A2" w:themeFill="accent4"/>
          </w:tcPr>
          <w:p w14:paraId="594C434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DBD6F7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76A8B1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211020" w14:paraId="1676C871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6E180107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Use_Provid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29EC58D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C20F3D">
              <w:t xml:space="preserve">Does the law authorize providers to access or </w:t>
            </w:r>
            <w:r w:rsidRPr="00C20F3D">
              <w:lastRenderedPageBreak/>
              <w:t>contribute to HIE data for patient treatment?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6B17F35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Yes, authorizes it</w:t>
            </w:r>
          </w:p>
          <w:p w14:paraId="10DFFB6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7BBD2065" w14:textId="02FB4102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 xml:space="preserve">Not </w:t>
            </w:r>
            <w:r w:rsidR="00B649BE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2190AB7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460DE57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1E29EBA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1</w:t>
            </w:r>
          </w:p>
          <w:p w14:paraId="4941B663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8FEDC9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3</w:t>
            </w:r>
          </w:p>
          <w:p w14:paraId="6460700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62B6B626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064F1D2D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65F45B75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Use_Provid_Desig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6A65917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C20F3D">
              <w:rPr>
                <w:rStyle w:val="Emphasis"/>
              </w:rPr>
              <w:t>Does the law authorize participating healthcare facilities to designate roles within the facility for authorized HIE use?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558B3729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58CFF61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3D1F994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004928D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11B0A25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40509C1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F817800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4E5934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3563B233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241F04CA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Use_Provid_Mand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5507911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C20F3D">
              <w:rPr>
                <w:rStyle w:val="Emphasis"/>
              </w:rPr>
              <w:t>Does the law mandate any providers to access or contribute to HIE data?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1E57470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154BA4B1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11F9DE0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39C7E0E7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440BCB65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386B47D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1C6EE3C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7AE50E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211020" w14:paraId="4AF53B98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4CB80C0B" w14:textId="77777777" w:rsidR="00211020" w:rsidRDefault="00211020" w:rsidP="002110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Use_Provid_AdvDir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4BB2E0B4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C20F3D">
              <w:rPr>
                <w:rStyle w:val="Emphasis"/>
              </w:rPr>
              <w:t>Can</w:t>
            </w:r>
            <w:r w:rsidR="00B649BE">
              <w:rPr>
                <w:rStyle w:val="Emphasis"/>
              </w:rPr>
              <w:t xml:space="preserve"> the</w:t>
            </w:r>
            <w:r w:rsidRPr="00C20F3D">
              <w:rPr>
                <w:rStyle w:val="Emphasis"/>
              </w:rPr>
              <w:t xml:space="preserve"> HIE be used for an advanced directives registry?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28634A02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041B08C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</w:t>
            </w:r>
          </w:p>
          <w:p w14:paraId="1C2D13F6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Not mentioned</w:t>
            </w:r>
          </w:p>
          <w:p w14:paraId="08639166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ECD9F0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615B2A2F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16E281E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A05AE9B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47087ADA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B5DDD08" w14:textId="77777777" w:rsidR="00211020" w:rsidRPr="00D739CB" w:rsidRDefault="00211020" w:rsidP="00211020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07273744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3CFC1F3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Use_Patient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2F45870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Are patients authorized to access their HIE data electronically through an HIE portal or user interface (i.e., excluding patient access to emailed, faxed</w:t>
            </w:r>
            <w:r w:rsidR="00C23235">
              <w:t>,</w:t>
            </w:r>
            <w:r>
              <w:t xml:space="preserve"> or mailed copies of their records)?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1958C99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7E398CD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00DD647C" w14:textId="7BF99C4D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4864A21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57AA48C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3AB7077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AA5F57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BC58CA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14B28B2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091744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62466FDC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067FF343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Use_Patient_Bi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75A416B8" w14:textId="31EE271E" w:rsidR="00582556" w:rsidRPr="00D739CB" w:rsidRDefault="00582556" w:rsidP="00582556">
            <w:pPr>
              <w:rPr>
                <w:sz w:val="20"/>
                <w:szCs w:val="20"/>
              </w:rPr>
            </w:pPr>
            <w:r w:rsidRPr="009E604F">
              <w:rPr>
                <w:rStyle w:val="Emphasis"/>
              </w:rPr>
              <w:t>Does the law authorize bidirectional communication between patients and other HIE participants (e.g., communication between patients and providers regarding their medical treatment through an HIE portal or user interface)?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330898B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6BD67DE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1EA95C04" w14:textId="185F7F18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623BCF6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B90AD5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68568CF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B69C51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3BA6DB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220F594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1E0A5D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A66475F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433E2D74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Use_Patient_Change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43628F83" w14:textId="229B835A" w:rsidR="00582556" w:rsidRPr="00D739CB" w:rsidRDefault="00582556" w:rsidP="00582556">
            <w:pPr>
              <w:rPr>
                <w:sz w:val="20"/>
                <w:szCs w:val="20"/>
              </w:rPr>
            </w:pPr>
            <w:r w:rsidRPr="009E604F">
              <w:rPr>
                <w:rStyle w:val="Emphasis"/>
              </w:rPr>
              <w:t>Are patients authorized to use the HIE to request amendments or make revisions to their data directly through an HIE portal or user interface?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37285C4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request amendments</w:t>
            </w:r>
          </w:p>
          <w:p w14:paraId="2269A2E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make alterations</w:t>
            </w:r>
          </w:p>
          <w:p w14:paraId="499C5DB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Both</w:t>
            </w:r>
          </w:p>
          <w:p w14:paraId="0EC382AF" w14:textId="430AE00C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No/Not </w:t>
            </w:r>
            <w:r w:rsidR="00C23235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7D79213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AFBB97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16078B9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A83B70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A11CC8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47E0455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01D0DC7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6</w:t>
            </w:r>
          </w:p>
          <w:p w14:paraId="44A6B47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7</w:t>
            </w:r>
          </w:p>
        </w:tc>
      </w:tr>
      <w:tr w:rsidR="00582556" w14:paraId="287BF020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50CCE7F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Use_EMS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5FEAFFFC" w14:textId="113982C8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Does the law specifically authorize </w:t>
            </w:r>
            <w:r w:rsidR="00C23235">
              <w:t>e</w:t>
            </w:r>
            <w:r>
              <w:t xml:space="preserve">mergency </w:t>
            </w:r>
            <w:r w:rsidR="00C23235">
              <w:t>m</w:t>
            </w:r>
            <w:r>
              <w:t xml:space="preserve">edical </w:t>
            </w:r>
            <w:r w:rsidR="00C23235">
              <w:t>s</w:t>
            </w:r>
            <w:r>
              <w:t>ervices (EMS) to access or contribute to HIE data for patient treatment?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556B54E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11A5843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15CD87A6" w14:textId="665AEC20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C23235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08D9AD1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1D237A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18ACE10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B416C3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7E2177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17AABF4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0C79674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607475A0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35B7D397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Use_Payer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683D2B2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authorize payers to access HIE data?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0DACAB0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342A89D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5EF76DA0" w14:textId="49216DAD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C23235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55356F8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E03CD0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72DC861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1</w:t>
            </w:r>
          </w:p>
          <w:p w14:paraId="1110FB6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3891FD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4E97664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13A9BB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5</w:t>
            </w:r>
          </w:p>
        </w:tc>
      </w:tr>
      <w:tr w:rsidR="00582556" w14:paraId="2EC9ECEF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6ED1532A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Use_Payer_Bi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6F705C8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E604F">
              <w:rPr>
                <w:rStyle w:val="Emphasis"/>
              </w:rPr>
              <w:t>Does the law address bidirectional communication between payers and other HIE participants</w:t>
            </w:r>
            <w:r w:rsidRPr="009E604F">
              <w:rPr>
                <w:i/>
              </w:rPr>
              <w:t xml:space="preserve"> </w:t>
            </w:r>
            <w:r w:rsidRPr="009E604F">
              <w:rPr>
                <w:rStyle w:val="Emphasis"/>
              </w:rPr>
              <w:t>through an HIE portal or user interface?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4499B09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5718176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52459025" w14:textId="22796ED3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51B7C63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23BFF9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22C985B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81AD3D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83D67E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56C6B98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0C7DF3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16377C4C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13936505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Use_Lab 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18971C4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Does the law authorize medical labs to convey medical test results through </w:t>
            </w:r>
            <w:r w:rsidR="00C23235">
              <w:t xml:space="preserve">the </w:t>
            </w:r>
            <w:r>
              <w:t>HIE?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782490C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2DD2287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72670384" w14:textId="279D5A7D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74FED82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FB87F6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13FB934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54D684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5A5433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6010079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61FF323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1273C6BC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69A8282E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Use_Research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731A4BD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Does the law authorize educational or other research institutions to access HIE data </w:t>
            </w:r>
            <w:r w:rsidRPr="009E604F">
              <w:rPr>
                <w:rStyle w:val="Emphasis"/>
              </w:rPr>
              <w:t>through an HIE portal or user interface (excluding research requiring express consent for the use of an individual’s information)</w:t>
            </w:r>
            <w:r w:rsidRPr="00960B34">
              <w:t>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52DD77B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154668E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4932E29F" w14:textId="5AA52BF9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402CC7E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0FDB01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6F599E5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C1CB26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3F596E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0FAAE23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9B4A6E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6A720AF7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7E9BD377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Use_Employer 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3B0C6CC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authorize employers to access the HIE (e.g., for conveying the results of employee drug tests or background checks)?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66B5BB2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64DA7F9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2D5EBB2C" w14:textId="0D94E300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263F5A9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783BB0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43AC049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939F6E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FC16C5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3A65DB1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7093A01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2BAC7C7A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341B99F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Use_Pharm 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21EDA83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authorize pharmacists and pharmacies to access the HIE (e.g., for the purposes of executing prescription drug orders and documenting other pharmaceutical care)?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355A1A0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5CA510D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438354C8" w14:textId="23D52DED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2058463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58B53D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7D1D775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E77281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C49766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594F75D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86812F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F013959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133019A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Use_Pharm_PDMP 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3754100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>Can the HIE be used for prescription monitoring purposes by prescribers and those dispensing prescriptions?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2EF6BA0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>, authorizes it</w:t>
            </w:r>
          </w:p>
          <w:p w14:paraId="4A4B52D8" w14:textId="77777777" w:rsidR="00582556" w:rsidRDefault="00582556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does not authorize it</w:t>
            </w:r>
          </w:p>
          <w:p w14:paraId="46B5FA1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Not mentioned</w:t>
            </w:r>
          </w:p>
          <w:p w14:paraId="4E47309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C202FE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19DB88D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61D6F9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24F5C7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3999E0F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F58715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6CEB9E77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4D01F940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Use_Marketing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5FC3F7F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Does the law address the use of HIE data for marketing or other commercial purposes </w:t>
            </w:r>
            <w:r w:rsidRPr="009E604F">
              <w:rPr>
                <w:rStyle w:val="Emphasis"/>
              </w:rPr>
              <w:t>(excluding marketing or commercial purposes requiring express consent for the use of an individual’s information)</w:t>
            </w:r>
            <w:r>
              <w:t>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7C0DD31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39690BC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0DF69284" w14:textId="444F960B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9F180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475F79A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34CB52F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7739956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772596E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81B6AA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4ED71B7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D45E19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C2C3EEF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262B21CF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Use_PH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5FBCCF4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authorize state and local health authorities to access the HIE?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6969934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1244615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64561553" w14:textId="3C3BFFA2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C23235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557CF42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35AE942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05770AF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42EC7B4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542FD1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75F3ECB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9CDEDE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393C86E2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28774160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Use_PH_Bi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0213BE9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Does the law address HIE bidirectional communication between public health authorities and other HIE participants</w:t>
            </w:r>
            <w:r w:rsidRPr="00942651">
              <w:rPr>
                <w:i/>
              </w:rPr>
              <w:t xml:space="preserve"> </w:t>
            </w:r>
            <w:r w:rsidRPr="00942651">
              <w:rPr>
                <w:rStyle w:val="Emphasis"/>
              </w:rPr>
              <w:t>through an HIE portal or user interface?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4A8381F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321DDC2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3E9321C7" w14:textId="64CAC94F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B649BE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2D839AD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CD747B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59E7717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EF8428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51D61F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4344965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948CF1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A84C191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620F5F6C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Use_PH_PDMP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02CC8B7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Can the HIE be used for prescription drug monitoring?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7C0F879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7AD23FA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</w:t>
            </w:r>
          </w:p>
          <w:p w14:paraId="6EE1655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Not mentioned</w:t>
            </w:r>
          </w:p>
          <w:p w14:paraId="57FA0CA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EC35BB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17A29CE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46920F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02219D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174627D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7973620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6F8FD3F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3202D0D6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Use_PH_CaseReport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3112709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Can the HIE be used for case reporting?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2B7547D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D50C7E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</w:t>
            </w:r>
          </w:p>
          <w:p w14:paraId="2F12FFB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Not mentioned</w:t>
            </w:r>
          </w:p>
          <w:p w14:paraId="06E87B1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FC75EB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3E88D31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216FFE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76540D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3275BA8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69824E0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1FE616D9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59184063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Use_PH_IIS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126B026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Can the HIE be used for immunization reporting?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2E47637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03BE808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</w:t>
            </w:r>
          </w:p>
          <w:p w14:paraId="3E548CE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Not mentioned</w:t>
            </w:r>
          </w:p>
          <w:p w14:paraId="4CAE9B6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18C0F8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553BF9A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78E5F03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83E02D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6DFFD23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0A3149B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00206029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59075819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Use_PH_SyndSurv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09CBAC0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 xml:space="preserve">Can </w:t>
            </w:r>
            <w:r w:rsidR="00B649BE">
              <w:rPr>
                <w:rStyle w:val="Emphasis"/>
              </w:rPr>
              <w:t xml:space="preserve">the </w:t>
            </w:r>
            <w:r w:rsidRPr="00942651">
              <w:rPr>
                <w:rStyle w:val="Emphasis"/>
              </w:rPr>
              <w:t>HIE be used for syndromic surveillance?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6594109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7C4D4E9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</w:t>
            </w:r>
          </w:p>
          <w:p w14:paraId="3CCCD99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Not mentioned</w:t>
            </w:r>
          </w:p>
          <w:p w14:paraId="19C51F1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3A46CB5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48F47AF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61F0B5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002AA6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114FE1D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0971C2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2FE6AA91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7515C3C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Use_StateAgency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5F03D28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authorize any other state agency or entity (other than public health) to access the HIE?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30B0603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7968937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3BED585A" w14:textId="5299C546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1C6ACF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1B6349B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4B10B7B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5B64E27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484FBF4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66AB3E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36858BD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C51F9B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349501FD" w14:textId="77777777" w:rsidTr="00131342">
        <w:tc>
          <w:tcPr>
            <w:tcW w:w="3004" w:type="dxa"/>
            <w:shd w:val="clear" w:color="auto" w:fill="E5DFEC" w:themeFill="accent4" w:themeFillTint="33"/>
            <w:vAlign w:val="bottom"/>
          </w:tcPr>
          <w:p w14:paraId="3F2A4D86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Use_StateAgency_Bi </w:t>
            </w:r>
          </w:p>
        </w:tc>
        <w:tc>
          <w:tcPr>
            <w:tcW w:w="2639" w:type="dxa"/>
            <w:shd w:val="clear" w:color="auto" w:fill="E5DFEC" w:themeFill="accent4" w:themeFillTint="33"/>
          </w:tcPr>
          <w:p w14:paraId="54ECE72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Does the law address bidirectional communication between these state agencies and other HIE participants?</w:t>
            </w:r>
          </w:p>
        </w:tc>
        <w:tc>
          <w:tcPr>
            <w:tcW w:w="2542" w:type="dxa"/>
            <w:shd w:val="clear" w:color="auto" w:fill="E5DFEC" w:themeFill="accent4" w:themeFillTint="33"/>
          </w:tcPr>
          <w:p w14:paraId="1F6C4BA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189E73D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11CF1830" w14:textId="7031E5A5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B649BE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50DFA06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E1AA89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4FC2F37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502D5B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8CD1A1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4F6E5A3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788C25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CCB23D3" w14:textId="77777777" w:rsidTr="00131342">
        <w:tc>
          <w:tcPr>
            <w:tcW w:w="3004" w:type="dxa"/>
            <w:shd w:val="clear" w:color="auto" w:fill="B2A1C7" w:themeFill="accent4" w:themeFillTint="99"/>
            <w:vAlign w:val="bottom"/>
          </w:tcPr>
          <w:p w14:paraId="537A1416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Use_QM</w:t>
            </w:r>
          </w:p>
        </w:tc>
        <w:tc>
          <w:tcPr>
            <w:tcW w:w="2639" w:type="dxa"/>
            <w:shd w:val="clear" w:color="auto" w:fill="B2A1C7" w:themeFill="accent4" w:themeFillTint="99"/>
          </w:tcPr>
          <w:p w14:paraId="0D616D4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Does the law authorize the collection of data on healthcare operations and quality through </w:t>
            </w:r>
            <w:r w:rsidR="00B649BE">
              <w:t xml:space="preserve">the </w:t>
            </w:r>
            <w:r>
              <w:t>HIE?</w:t>
            </w:r>
          </w:p>
        </w:tc>
        <w:tc>
          <w:tcPr>
            <w:tcW w:w="2542" w:type="dxa"/>
            <w:shd w:val="clear" w:color="auto" w:fill="B2A1C7" w:themeFill="accent4" w:themeFillTint="99"/>
          </w:tcPr>
          <w:p w14:paraId="6DAA1C1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3204ED1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02081E2B" w14:textId="4543D544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B649BE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0C79FB7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3EAFCAC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14:paraId="79035C5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0FA9D0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965B46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4DC5F3F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E2CEE9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07557077" w14:textId="77777777" w:rsidTr="00131342">
        <w:tc>
          <w:tcPr>
            <w:tcW w:w="10345" w:type="dxa"/>
            <w:gridSpan w:val="4"/>
            <w:shd w:val="clear" w:color="auto" w:fill="F79646" w:themeFill="accent6"/>
            <w:vAlign w:val="bottom"/>
          </w:tcPr>
          <w:p w14:paraId="782A3C3A" w14:textId="77777777" w:rsidR="00582556" w:rsidRPr="00582556" w:rsidRDefault="00582556" w:rsidP="0064501F">
            <w:pPr>
              <w:jc w:val="center"/>
              <w:rPr>
                <w:sz w:val="36"/>
                <w:szCs w:val="36"/>
              </w:rPr>
            </w:pPr>
            <w:r w:rsidRPr="0064501F">
              <w:rPr>
                <w:sz w:val="40"/>
                <w:szCs w:val="36"/>
              </w:rPr>
              <w:t>HIE Data Protections</w:t>
            </w:r>
          </w:p>
        </w:tc>
      </w:tr>
      <w:tr w:rsidR="00582556" w14:paraId="5B527997" w14:textId="77777777" w:rsidTr="00131342">
        <w:tc>
          <w:tcPr>
            <w:tcW w:w="3004" w:type="dxa"/>
            <w:shd w:val="clear" w:color="auto" w:fill="auto"/>
          </w:tcPr>
          <w:p w14:paraId="73C82E37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Variable Name</w:t>
            </w:r>
          </w:p>
        </w:tc>
        <w:tc>
          <w:tcPr>
            <w:tcW w:w="2639" w:type="dxa"/>
            <w:shd w:val="clear" w:color="auto" w:fill="auto"/>
          </w:tcPr>
          <w:p w14:paraId="61A1DB88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Question</w:t>
            </w:r>
          </w:p>
        </w:tc>
        <w:tc>
          <w:tcPr>
            <w:tcW w:w="2542" w:type="dxa"/>
            <w:shd w:val="clear" w:color="auto" w:fill="auto"/>
          </w:tcPr>
          <w:p w14:paraId="196FCB72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Answer Options</w:t>
            </w:r>
          </w:p>
        </w:tc>
        <w:tc>
          <w:tcPr>
            <w:tcW w:w="2160" w:type="dxa"/>
            <w:shd w:val="clear" w:color="auto" w:fill="auto"/>
          </w:tcPr>
          <w:p w14:paraId="70DCA27D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Dataset</w:t>
            </w:r>
            <w:r w:rsidRPr="00582556">
              <w:rPr>
                <w:rFonts w:ascii="Calibri" w:hAnsi="Calibri"/>
                <w:color w:val="000000"/>
              </w:rPr>
              <w:t xml:space="preserve"> Value</w:t>
            </w:r>
          </w:p>
        </w:tc>
      </w:tr>
      <w:tr w:rsidR="00582556" w14:paraId="1893843F" w14:textId="77777777" w:rsidTr="00131342">
        <w:tc>
          <w:tcPr>
            <w:tcW w:w="3004" w:type="dxa"/>
            <w:shd w:val="clear" w:color="auto" w:fill="F79646" w:themeFill="accent6"/>
            <w:vAlign w:val="bottom"/>
          </w:tcPr>
          <w:p w14:paraId="060F6A27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</w:t>
            </w:r>
          </w:p>
        </w:tc>
        <w:tc>
          <w:tcPr>
            <w:tcW w:w="2639" w:type="dxa"/>
            <w:shd w:val="clear" w:color="auto" w:fill="F79646" w:themeFill="accent6"/>
          </w:tcPr>
          <w:p w14:paraId="18681AE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Are there provisions in the law designed to promote privacy, security, or </w:t>
            </w:r>
            <w:r>
              <w:lastRenderedPageBreak/>
              <w:t>confidentiality related to HIE data?</w:t>
            </w:r>
          </w:p>
        </w:tc>
        <w:tc>
          <w:tcPr>
            <w:tcW w:w="2542" w:type="dxa"/>
            <w:shd w:val="clear" w:color="auto" w:fill="F79646" w:themeFill="accent6"/>
          </w:tcPr>
          <w:p w14:paraId="6CDD0DB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Yes</w:t>
            </w:r>
          </w:p>
          <w:p w14:paraId="77644B1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DA0DBD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F1F7D88" w14:textId="77777777" w:rsidR="00582556" w:rsidRPr="00D739CB" w:rsidRDefault="00582556" w:rsidP="00582556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79646" w:themeFill="accent6"/>
          </w:tcPr>
          <w:p w14:paraId="761FB8D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1</w:t>
            </w:r>
          </w:p>
          <w:p w14:paraId="3A03532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C99851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582556" w14:paraId="7F4B8796" w14:textId="77777777" w:rsidTr="00131342">
        <w:tc>
          <w:tcPr>
            <w:tcW w:w="3004" w:type="dxa"/>
            <w:shd w:val="clear" w:color="auto" w:fill="FABF8F" w:themeFill="accent6" w:themeFillTint="99"/>
            <w:vAlign w:val="bottom"/>
          </w:tcPr>
          <w:p w14:paraId="6E4523E6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Data_PtNotice</w:t>
            </w:r>
          </w:p>
        </w:tc>
        <w:tc>
          <w:tcPr>
            <w:tcW w:w="2639" w:type="dxa"/>
            <w:shd w:val="clear" w:color="auto" w:fill="FABF8F" w:themeFill="accent6" w:themeFillTint="99"/>
          </w:tcPr>
          <w:p w14:paraId="6D7F258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have patient notice requirements (excluding patient-initiated requests for information, such as a request for a medical record access audit log)?</w:t>
            </w:r>
          </w:p>
        </w:tc>
        <w:tc>
          <w:tcPr>
            <w:tcW w:w="2542" w:type="dxa"/>
            <w:shd w:val="clear" w:color="auto" w:fill="FABF8F" w:themeFill="accent6" w:themeFillTint="99"/>
          </w:tcPr>
          <w:p w14:paraId="41D00A0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51E9CB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626F0C5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5938789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ABF8F" w:themeFill="accent6" w:themeFillTint="99"/>
          </w:tcPr>
          <w:p w14:paraId="6676E15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79AEBD8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FAB0EA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05F339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2A21654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0F9D943C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Data_PtNotice_Collect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2B4C765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 xml:space="preserve">…of the content of data collected or released by or through </w:t>
            </w:r>
            <w:r w:rsidR="00B649BE">
              <w:rPr>
                <w:rStyle w:val="Emphasis"/>
              </w:rPr>
              <w:t xml:space="preserve">the </w:t>
            </w:r>
            <w:r w:rsidRPr="00942651">
              <w:rPr>
                <w:rStyle w:val="Emphasis"/>
              </w:rPr>
              <w:t>HIE?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2F640E4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2C85194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092898C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57AFE0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0A6F978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7613DE3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341DB1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07E26C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FFD4B79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5F3F6849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Data_PtNotice_Entities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1E90953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…of the entities with access to HIE data?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2BB8E02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E7D1AF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07FDF1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549EC7F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6A6AB25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A496CE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DE2DE7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37C3B5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9D54952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13455D1E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Data_PtNotice_Purpose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6711FA8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…of the purposes for which patient data can be disclosed/used?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37C5C4F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39223E7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71C2B23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553CE70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1C774CE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7CE52E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14FFE2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64D4FC0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F71A2D6" w14:textId="77777777" w:rsidTr="00131342">
        <w:tc>
          <w:tcPr>
            <w:tcW w:w="3004" w:type="dxa"/>
            <w:shd w:val="clear" w:color="auto" w:fill="FABF8F" w:themeFill="accent6" w:themeFillTint="99"/>
            <w:vAlign w:val="bottom"/>
          </w:tcPr>
          <w:p w14:paraId="666AB224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Data_Correct</w:t>
            </w:r>
          </w:p>
        </w:tc>
        <w:tc>
          <w:tcPr>
            <w:tcW w:w="2639" w:type="dxa"/>
            <w:shd w:val="clear" w:color="auto" w:fill="FABF8F" w:themeFill="accent6" w:themeFillTint="99"/>
          </w:tcPr>
          <w:p w14:paraId="264109B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Is there a procedure for correcting or removing HIE data?</w:t>
            </w:r>
          </w:p>
        </w:tc>
        <w:tc>
          <w:tcPr>
            <w:tcW w:w="2542" w:type="dxa"/>
            <w:shd w:val="clear" w:color="auto" w:fill="FABF8F" w:themeFill="accent6" w:themeFillTint="99"/>
          </w:tcPr>
          <w:p w14:paraId="281F586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558F187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6DAB990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B197F2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ABF8F" w:themeFill="accent6" w:themeFillTint="99"/>
          </w:tcPr>
          <w:p w14:paraId="4C30A3A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1035AC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8BEF3C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09A6DC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34C6B210" w14:textId="77777777" w:rsidTr="00131342">
        <w:tc>
          <w:tcPr>
            <w:tcW w:w="3004" w:type="dxa"/>
            <w:shd w:val="clear" w:color="auto" w:fill="FABF8F" w:themeFill="accent6" w:themeFillTint="99"/>
            <w:vAlign w:val="bottom"/>
          </w:tcPr>
          <w:p w14:paraId="5580D324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Data_HIEType</w:t>
            </w:r>
          </w:p>
        </w:tc>
        <w:tc>
          <w:tcPr>
            <w:tcW w:w="2639" w:type="dxa"/>
            <w:shd w:val="clear" w:color="auto" w:fill="FABF8F" w:themeFill="accent6" w:themeFillTint="99"/>
          </w:tcPr>
          <w:p w14:paraId="4A30FF6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942651">
              <w:rPr>
                <w:rStyle w:val="Emphasis"/>
              </w:rPr>
              <w:t>Does the law vary on data protection requirements for query-based and point-to-point HIE functions?</w:t>
            </w:r>
          </w:p>
        </w:tc>
        <w:tc>
          <w:tcPr>
            <w:tcW w:w="2542" w:type="dxa"/>
            <w:shd w:val="clear" w:color="auto" w:fill="FABF8F" w:themeFill="accent6" w:themeFillTint="99"/>
          </w:tcPr>
          <w:p w14:paraId="54C28E1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6D1343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62CCD62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73F9A0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ABF8F" w:themeFill="accent6" w:themeFillTint="99"/>
          </w:tcPr>
          <w:p w14:paraId="0E043FC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40EA0B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038388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17DDD87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3297AA7C" w14:textId="77777777" w:rsidTr="00131342">
        <w:tc>
          <w:tcPr>
            <w:tcW w:w="3004" w:type="dxa"/>
            <w:shd w:val="clear" w:color="auto" w:fill="FABF8F" w:themeFill="accent6" w:themeFillTint="99"/>
            <w:vAlign w:val="bottom"/>
          </w:tcPr>
          <w:p w14:paraId="45A9DF50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Data_Privacy</w:t>
            </w:r>
          </w:p>
        </w:tc>
        <w:tc>
          <w:tcPr>
            <w:tcW w:w="2639" w:type="dxa"/>
            <w:shd w:val="clear" w:color="auto" w:fill="FABF8F" w:themeFill="accent6" w:themeFillTint="99"/>
          </w:tcPr>
          <w:p w14:paraId="20E8CF3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Does the law require privacy protections for </w:t>
            </w:r>
            <w:r w:rsidR="00B649BE">
              <w:t xml:space="preserve">the </w:t>
            </w:r>
            <w:r>
              <w:t>HIE (excluding direct reference to state or federal privacy laws)</w:t>
            </w:r>
            <w:r w:rsidR="00B649BE">
              <w:t>?</w:t>
            </w:r>
          </w:p>
        </w:tc>
        <w:tc>
          <w:tcPr>
            <w:tcW w:w="2542" w:type="dxa"/>
            <w:shd w:val="clear" w:color="auto" w:fill="FABF8F" w:themeFill="accent6" w:themeFillTint="99"/>
          </w:tcPr>
          <w:p w14:paraId="1E61371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128B07E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7ABA281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52A1D78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ABF8F" w:themeFill="accent6" w:themeFillTint="99"/>
          </w:tcPr>
          <w:p w14:paraId="25D5F43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1C07A9B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D06BE5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6C1599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11B3A2B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7F7437B3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Data_Privacy_Breach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2889DA5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rPr>
                <w:rStyle w:val="Emphasis"/>
              </w:rPr>
              <w:t>Does the law address privacy violations or breaches?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4B8B2A3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34DFEA5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0D2E857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4CC403D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16D463D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D06F7E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F627AF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01357C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290905C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4C936B65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Data_Privacy_PtRestrictions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4E8BF17C" w14:textId="565961F3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rPr>
                <w:rStyle w:val="Emphasis"/>
              </w:rPr>
              <w:t>Can participating patients restrict certain health information from being disclosed to the HIE or restrict certain accesses or uses by HIE participants?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69BBFC2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BC6849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39DA90A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0ECBFE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658B855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34884FA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C65623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08766F1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3EF08EEA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3EFEEC71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Data_Privacy_Consent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54C18EC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 xml:space="preserve">Is patient consent required for </w:t>
            </w:r>
            <w:r>
              <w:rPr>
                <w:rStyle w:val="Emphasis"/>
              </w:rPr>
              <w:t>disclosure</w:t>
            </w:r>
            <w:r w:rsidRPr="00231C58">
              <w:rPr>
                <w:rStyle w:val="Emphasis"/>
              </w:rPr>
              <w:t xml:space="preserve"> of patient data in the HIE?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208F5F6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Opt-in</w:t>
            </w:r>
          </w:p>
          <w:p w14:paraId="374CD17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Opt-out</w:t>
            </w:r>
          </w:p>
          <w:p w14:paraId="190C4ED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Voluntary (not specified)</w:t>
            </w:r>
          </w:p>
          <w:p w14:paraId="0838958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7DCDEBB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5FD956E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2FE79A0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30D14F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7EB70A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6E4D6D5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B69798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  <w:p w14:paraId="0868FE4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6</w:t>
            </w:r>
          </w:p>
        </w:tc>
      </w:tr>
      <w:tr w:rsidR="00582556" w14:paraId="222A05AA" w14:textId="77777777" w:rsidTr="00131342">
        <w:tc>
          <w:tcPr>
            <w:tcW w:w="3004" w:type="dxa"/>
            <w:shd w:val="clear" w:color="auto" w:fill="FDE9D9" w:themeFill="accent6" w:themeFillTint="33"/>
            <w:vAlign w:val="bottom"/>
          </w:tcPr>
          <w:p w14:paraId="2DA770AA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Data_Privacy_Consent_Change</w:t>
            </w:r>
          </w:p>
        </w:tc>
        <w:tc>
          <w:tcPr>
            <w:tcW w:w="2639" w:type="dxa"/>
            <w:shd w:val="clear" w:color="auto" w:fill="FDE9D9" w:themeFill="accent6" w:themeFillTint="33"/>
          </w:tcPr>
          <w:p w14:paraId="0B99F27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1E3372">
              <w:rPr>
                <w:rStyle w:val="SubtleEmphasis"/>
              </w:rPr>
              <w:t>Can patients change their consen</w:t>
            </w:r>
            <w:r>
              <w:rPr>
                <w:rStyle w:val="SubtleEmphasis"/>
              </w:rPr>
              <w:t>t preference?</w:t>
            </w:r>
          </w:p>
        </w:tc>
        <w:tc>
          <w:tcPr>
            <w:tcW w:w="2542" w:type="dxa"/>
            <w:shd w:val="clear" w:color="auto" w:fill="FDE9D9" w:themeFill="accent6" w:themeFillTint="33"/>
          </w:tcPr>
          <w:p w14:paraId="2BF693D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2D939C0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12D6172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Ambiguous</w:t>
            </w:r>
          </w:p>
          <w:p w14:paraId="3A43261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DE9D9" w:themeFill="accent6" w:themeFillTint="33"/>
          </w:tcPr>
          <w:p w14:paraId="3D19CC1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1</w:t>
            </w:r>
          </w:p>
          <w:p w14:paraId="21B6CED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7D29009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lastRenderedPageBreak/>
              <w:t>4</w:t>
            </w:r>
          </w:p>
          <w:p w14:paraId="29078FF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07C56A8" w14:textId="77777777" w:rsidTr="00131342">
        <w:tc>
          <w:tcPr>
            <w:tcW w:w="3004" w:type="dxa"/>
            <w:shd w:val="clear" w:color="auto" w:fill="FDE9D9" w:themeFill="accent6" w:themeFillTint="33"/>
            <w:vAlign w:val="bottom"/>
          </w:tcPr>
          <w:p w14:paraId="412820ED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Data_Privacy_Consent_Emerg</w:t>
            </w:r>
          </w:p>
        </w:tc>
        <w:tc>
          <w:tcPr>
            <w:tcW w:w="2639" w:type="dxa"/>
            <w:shd w:val="clear" w:color="auto" w:fill="FDE9D9" w:themeFill="accent6" w:themeFillTint="33"/>
          </w:tcPr>
          <w:p w14:paraId="3B83F99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rPr>
                <w:rStyle w:val="SubtleEmphasis"/>
              </w:rPr>
              <w:t>Is there an exception to the consent requirement in emergencies?</w:t>
            </w:r>
          </w:p>
        </w:tc>
        <w:tc>
          <w:tcPr>
            <w:tcW w:w="2542" w:type="dxa"/>
            <w:shd w:val="clear" w:color="auto" w:fill="FDE9D9" w:themeFill="accent6" w:themeFillTint="33"/>
          </w:tcPr>
          <w:p w14:paraId="510AF95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2D0D20A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6BAA858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07D1643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DE9D9" w:themeFill="accent6" w:themeFillTint="33"/>
          </w:tcPr>
          <w:p w14:paraId="06FF23B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5092B9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BDA4E7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1100384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55E9161A" w14:textId="77777777" w:rsidTr="00131342">
        <w:tc>
          <w:tcPr>
            <w:tcW w:w="3004" w:type="dxa"/>
            <w:shd w:val="clear" w:color="auto" w:fill="FDE9D9" w:themeFill="accent6" w:themeFillTint="33"/>
            <w:vAlign w:val="bottom"/>
          </w:tcPr>
          <w:p w14:paraId="4D155AD3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Data_Privacy_Consent_Minors</w:t>
            </w:r>
          </w:p>
        </w:tc>
        <w:tc>
          <w:tcPr>
            <w:tcW w:w="2639" w:type="dxa"/>
            <w:shd w:val="clear" w:color="auto" w:fill="FDE9D9" w:themeFill="accent6" w:themeFillTint="33"/>
          </w:tcPr>
          <w:p w14:paraId="474A2AC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1E3372">
              <w:rPr>
                <w:rStyle w:val="SubtleEmphasis"/>
              </w:rPr>
              <w:t>Are there specific consen</w:t>
            </w:r>
            <w:r>
              <w:rPr>
                <w:rStyle w:val="SubtleEmphasis"/>
              </w:rPr>
              <w:t>t requirements for minors?</w:t>
            </w:r>
          </w:p>
        </w:tc>
        <w:tc>
          <w:tcPr>
            <w:tcW w:w="2542" w:type="dxa"/>
            <w:shd w:val="clear" w:color="auto" w:fill="FDE9D9" w:themeFill="accent6" w:themeFillTint="33"/>
          </w:tcPr>
          <w:p w14:paraId="035874E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738A975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26DDC0E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43D0F0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DE9D9" w:themeFill="accent6" w:themeFillTint="33"/>
          </w:tcPr>
          <w:p w14:paraId="5576DF4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4C608F2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F613F6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0CB64D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850EE3A" w14:textId="77777777" w:rsidTr="00131342">
        <w:tc>
          <w:tcPr>
            <w:tcW w:w="3004" w:type="dxa"/>
            <w:shd w:val="clear" w:color="auto" w:fill="FABF8F" w:themeFill="accent6" w:themeFillTint="99"/>
            <w:vAlign w:val="bottom"/>
          </w:tcPr>
          <w:p w14:paraId="6A01B68A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Data_Security</w:t>
            </w:r>
          </w:p>
        </w:tc>
        <w:tc>
          <w:tcPr>
            <w:tcW w:w="2639" w:type="dxa"/>
            <w:shd w:val="clear" w:color="auto" w:fill="FABF8F" w:themeFill="accent6" w:themeFillTint="99"/>
          </w:tcPr>
          <w:p w14:paraId="5EC4B6D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address administrative, technical, or physical safeguards to secure HIE data (excluding direct references to state or federal laws)?</w:t>
            </w:r>
          </w:p>
        </w:tc>
        <w:tc>
          <w:tcPr>
            <w:tcW w:w="2542" w:type="dxa"/>
            <w:shd w:val="clear" w:color="auto" w:fill="FABF8F" w:themeFill="accent6" w:themeFillTint="99"/>
          </w:tcPr>
          <w:p w14:paraId="3BA6D60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0A6DC3C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2FFC7F1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04A4480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ABF8F" w:themeFill="accent6" w:themeFillTint="99"/>
          </w:tcPr>
          <w:p w14:paraId="2D6B467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77B705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5909D8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7F8368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1FE0A70A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63CFF358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Data_Security_Training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3BB773B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 xml:space="preserve">Does the law require HIE users to </w:t>
            </w:r>
            <w:r>
              <w:rPr>
                <w:rStyle w:val="Emphasis"/>
              </w:rPr>
              <w:t>receive security training?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07DF6A9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2109937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076A862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CA89AA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0B41930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DB2E46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2F2758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A948C8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2269F92F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0874DC64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Data_Security_Encrypt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06378CD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>Does the law require minimum encrypt</w:t>
            </w:r>
            <w:r>
              <w:rPr>
                <w:rStyle w:val="Emphasis"/>
              </w:rPr>
              <w:t>ion standards of HIE data (excluding general references to interoperability standards)?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1C22196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3343D7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66278E1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1682221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1962356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7A8807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6556EA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684096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125C30A3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56893319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Data_Security_Authent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687A3AA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>Does the law require minimum standards for authen</w:t>
            </w:r>
            <w:r>
              <w:rPr>
                <w:rStyle w:val="Emphasis"/>
              </w:rPr>
              <w:t>tication of user identity?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3429A43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3C8E8423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270139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0ACA91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5AE0201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33BDD6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AAAC55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4606DA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2D282258" w14:textId="77777777" w:rsidTr="00131342">
        <w:tc>
          <w:tcPr>
            <w:tcW w:w="3004" w:type="dxa"/>
            <w:shd w:val="clear" w:color="auto" w:fill="FABF8F" w:themeFill="accent6" w:themeFillTint="99"/>
            <w:vAlign w:val="bottom"/>
          </w:tcPr>
          <w:p w14:paraId="75C285D3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Data_Confid</w:t>
            </w:r>
          </w:p>
        </w:tc>
        <w:tc>
          <w:tcPr>
            <w:tcW w:w="2639" w:type="dxa"/>
            <w:shd w:val="clear" w:color="auto" w:fill="FABF8F" w:themeFill="accent6" w:themeFillTint="99"/>
          </w:tcPr>
          <w:p w14:paraId="4294DAB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Are there express duties for providers or other HIE users to protect patient data from unauthorized accesses/disclosures?</w:t>
            </w:r>
          </w:p>
        </w:tc>
        <w:tc>
          <w:tcPr>
            <w:tcW w:w="2542" w:type="dxa"/>
            <w:shd w:val="clear" w:color="auto" w:fill="FABF8F" w:themeFill="accent6" w:themeFillTint="99"/>
          </w:tcPr>
          <w:p w14:paraId="6397DAC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53B0C98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030139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0F6C4FA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ABF8F" w:themeFill="accent6" w:themeFillTint="99"/>
          </w:tcPr>
          <w:p w14:paraId="4937FA8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391FBF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127CB33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54F3EF1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736BF8E6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77BA4D67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Data_Confid_Subpoena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4138548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>Are there provisions addressing</w:t>
            </w:r>
            <w:r>
              <w:rPr>
                <w:rStyle w:val="Emphasis"/>
              </w:rPr>
              <w:t xml:space="preserve"> subpoenas or other judicial court orders for HIE data?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2910102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684919E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772F24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FC48AD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620E60A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C9E895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9086C1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63273D6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2C7AB8A7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10389741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Data_Confid_FOIA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660F4A4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 xml:space="preserve">Are there provisions addressing </w:t>
            </w:r>
            <w:r>
              <w:rPr>
                <w:rStyle w:val="Emphasis"/>
              </w:rPr>
              <w:t>public access requests of HIE data?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73A1E32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2493588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43B92B4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31BD5D7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48B86E6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667172F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2955258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428CBEA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0A4F79FA" w14:textId="77777777" w:rsidTr="00131342">
        <w:tc>
          <w:tcPr>
            <w:tcW w:w="3004" w:type="dxa"/>
            <w:shd w:val="clear" w:color="auto" w:fill="FBD4B4" w:themeFill="accent6" w:themeFillTint="66"/>
            <w:vAlign w:val="bottom"/>
          </w:tcPr>
          <w:p w14:paraId="7B0AAA0B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Data_Confid_Sensitive</w:t>
            </w:r>
          </w:p>
        </w:tc>
        <w:tc>
          <w:tcPr>
            <w:tcW w:w="2639" w:type="dxa"/>
            <w:shd w:val="clear" w:color="auto" w:fill="FBD4B4" w:themeFill="accent6" w:themeFillTint="66"/>
          </w:tcPr>
          <w:p w14:paraId="632A5DD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231C58">
              <w:rPr>
                <w:rStyle w:val="Emphasis"/>
              </w:rPr>
              <w:t>Does the law provide heightened protections for sensitive health information (e.g., mental health infor</w:t>
            </w:r>
            <w:r>
              <w:rPr>
                <w:rStyle w:val="Emphasis"/>
              </w:rPr>
              <w:t>mation, genetic information, HIV test results)?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14:paraId="6B5F901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4C28CEE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4954A8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7E581C9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BD4B4" w:themeFill="accent6" w:themeFillTint="66"/>
          </w:tcPr>
          <w:p w14:paraId="154EA68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55652E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BB6DF3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119E8B3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7973C1D9" w14:textId="77777777" w:rsidTr="00131342">
        <w:tc>
          <w:tcPr>
            <w:tcW w:w="10345" w:type="dxa"/>
            <w:gridSpan w:val="4"/>
            <w:shd w:val="clear" w:color="auto" w:fill="D99594" w:themeFill="accent2" w:themeFillTint="99"/>
            <w:vAlign w:val="bottom"/>
          </w:tcPr>
          <w:p w14:paraId="260719C1" w14:textId="77777777" w:rsidR="00582556" w:rsidRPr="00582556" w:rsidRDefault="00582556" w:rsidP="00582556">
            <w:pPr>
              <w:jc w:val="center"/>
              <w:rPr>
                <w:sz w:val="36"/>
                <w:szCs w:val="20"/>
              </w:rPr>
            </w:pPr>
            <w:r w:rsidRPr="0064501F">
              <w:rPr>
                <w:sz w:val="40"/>
                <w:szCs w:val="20"/>
              </w:rPr>
              <w:lastRenderedPageBreak/>
              <w:t>Funding</w:t>
            </w:r>
          </w:p>
        </w:tc>
      </w:tr>
      <w:tr w:rsidR="00582556" w14:paraId="6DBB9B70" w14:textId="77777777" w:rsidTr="00131342">
        <w:tc>
          <w:tcPr>
            <w:tcW w:w="3004" w:type="dxa"/>
            <w:shd w:val="clear" w:color="auto" w:fill="auto"/>
          </w:tcPr>
          <w:p w14:paraId="68E09FA2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Variable Name</w:t>
            </w:r>
          </w:p>
        </w:tc>
        <w:tc>
          <w:tcPr>
            <w:tcW w:w="2639" w:type="dxa"/>
            <w:shd w:val="clear" w:color="auto" w:fill="auto"/>
          </w:tcPr>
          <w:p w14:paraId="0C590929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Question</w:t>
            </w:r>
          </w:p>
        </w:tc>
        <w:tc>
          <w:tcPr>
            <w:tcW w:w="2542" w:type="dxa"/>
            <w:shd w:val="clear" w:color="auto" w:fill="auto"/>
          </w:tcPr>
          <w:p w14:paraId="4EC10E4F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Answer Options</w:t>
            </w:r>
          </w:p>
        </w:tc>
        <w:tc>
          <w:tcPr>
            <w:tcW w:w="2160" w:type="dxa"/>
            <w:shd w:val="clear" w:color="auto" w:fill="auto"/>
          </w:tcPr>
          <w:p w14:paraId="5F4ED12D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Dataset</w:t>
            </w:r>
            <w:r w:rsidRPr="00582556">
              <w:rPr>
                <w:rFonts w:ascii="Calibri" w:hAnsi="Calibri"/>
                <w:color w:val="000000"/>
              </w:rPr>
              <w:t xml:space="preserve"> Value</w:t>
            </w:r>
          </w:p>
        </w:tc>
      </w:tr>
      <w:tr w:rsidR="00582556" w14:paraId="4BE2DA3C" w14:textId="77777777" w:rsidTr="00131342">
        <w:tc>
          <w:tcPr>
            <w:tcW w:w="3004" w:type="dxa"/>
            <w:shd w:val="clear" w:color="auto" w:fill="D99594" w:themeFill="accent2" w:themeFillTint="99"/>
            <w:vAlign w:val="bottom"/>
          </w:tcPr>
          <w:p w14:paraId="51470DB3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</w:t>
            </w:r>
          </w:p>
        </w:tc>
        <w:tc>
          <w:tcPr>
            <w:tcW w:w="2639" w:type="dxa"/>
            <w:shd w:val="clear" w:color="auto" w:fill="D99594" w:themeFill="accent2" w:themeFillTint="99"/>
          </w:tcPr>
          <w:p w14:paraId="2DE5692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address HIE funding?</w:t>
            </w:r>
          </w:p>
        </w:tc>
        <w:tc>
          <w:tcPr>
            <w:tcW w:w="2542" w:type="dxa"/>
            <w:shd w:val="clear" w:color="auto" w:fill="D99594" w:themeFill="accent2" w:themeFillTint="99"/>
          </w:tcPr>
          <w:p w14:paraId="550041A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05E2A15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625571DB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D99594" w:themeFill="accent2" w:themeFillTint="99"/>
          </w:tcPr>
          <w:p w14:paraId="02FDCF2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5E01CB6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05E561BA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  <w:tr w:rsidR="00582556" w14:paraId="6D75D7D2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58DB1C71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Funding_Implement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68DF036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specify funding sources to cover initial HIE implementation costs?</w:t>
            </w:r>
          </w:p>
        </w:tc>
        <w:tc>
          <w:tcPr>
            <w:tcW w:w="2542" w:type="dxa"/>
            <w:shd w:val="clear" w:color="auto" w:fill="F2DBDB" w:themeFill="accent2" w:themeFillTint="33"/>
          </w:tcPr>
          <w:p w14:paraId="4E93476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032766A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199AEB6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67452E6D" w14:textId="77777777" w:rsidR="00582556" w:rsidRPr="00211020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6412E6E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443248C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581EA7A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2B117AD8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  <w:p w14:paraId="58A28284" w14:textId="77777777" w:rsidR="00582556" w:rsidRPr="00D739CB" w:rsidRDefault="00582556" w:rsidP="00582556">
            <w:pPr>
              <w:rPr>
                <w:sz w:val="20"/>
                <w:szCs w:val="20"/>
              </w:rPr>
            </w:pPr>
          </w:p>
        </w:tc>
      </w:tr>
      <w:tr w:rsidR="00582556" w14:paraId="35FBFA1A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5CE57345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Funding_Implement_ST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69841221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0AB863B1" w14:textId="77777777" w:rsidR="00582556" w:rsidRPr="00211020" w:rsidRDefault="00582556" w:rsidP="00582556">
            <w:pPr>
              <w:rPr>
                <w:i/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>State resources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5ED53FC3" w14:textId="3E0F95B9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39DF9A92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1EB67E41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Funding_Implement_Fed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5A16500A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250973F7" w14:textId="76EFAA01" w:rsidR="00582556" w:rsidRPr="00211020" w:rsidRDefault="00582556" w:rsidP="00582556">
            <w:pPr>
              <w:rPr>
                <w:i/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 xml:space="preserve">Federal </w:t>
            </w:r>
            <w:r w:rsidR="00B53311">
              <w:rPr>
                <w:i/>
                <w:sz w:val="20"/>
                <w:szCs w:val="20"/>
              </w:rPr>
              <w:t>r</w:t>
            </w:r>
            <w:r w:rsidRPr="00D739CB">
              <w:rPr>
                <w:i/>
                <w:sz w:val="20"/>
                <w:szCs w:val="20"/>
              </w:rPr>
              <w:t>esources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76B28685" w14:textId="6359D35C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7BF59415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5239AF6D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Funding_Implement_Priv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0A0BC104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7FF876D0" w14:textId="080E58F3" w:rsidR="00582556" w:rsidRPr="00211020" w:rsidRDefault="00582556" w:rsidP="00582556">
            <w:pPr>
              <w:rPr>
                <w:i/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 xml:space="preserve">Private </w:t>
            </w:r>
            <w:r w:rsidR="00B53311">
              <w:rPr>
                <w:i/>
                <w:sz w:val="20"/>
                <w:szCs w:val="20"/>
              </w:rPr>
              <w:t>c</w:t>
            </w:r>
            <w:r w:rsidRPr="00D739CB">
              <w:rPr>
                <w:i/>
                <w:sz w:val="20"/>
                <w:szCs w:val="20"/>
              </w:rPr>
              <w:t>ontributions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79F30AE3" w14:textId="297724AA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20432C17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173EDFF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Funding_Implement_Fee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6221F332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4B7BAC6A" w14:textId="5AC6650C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 xml:space="preserve">Participant </w:t>
            </w:r>
            <w:r w:rsidR="00B53311">
              <w:rPr>
                <w:i/>
                <w:sz w:val="20"/>
                <w:szCs w:val="20"/>
              </w:rPr>
              <w:t>f</w:t>
            </w:r>
            <w:r w:rsidRPr="00D739CB">
              <w:rPr>
                <w:i/>
                <w:sz w:val="20"/>
                <w:szCs w:val="20"/>
              </w:rPr>
              <w:t>ees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629243E2" w14:textId="081F6EA8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40FEE282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4BFF32EA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Funding_Longterm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18511C9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 xml:space="preserve">Does the law specify funding sources for long-term operability? </w:t>
            </w:r>
          </w:p>
        </w:tc>
        <w:tc>
          <w:tcPr>
            <w:tcW w:w="2542" w:type="dxa"/>
            <w:shd w:val="clear" w:color="auto" w:fill="F2DBDB" w:themeFill="accent2" w:themeFillTint="33"/>
          </w:tcPr>
          <w:p w14:paraId="7AC1AD2E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</w:t>
            </w:r>
          </w:p>
          <w:p w14:paraId="731DBAF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569B70B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  <w:p w14:paraId="244049F1" w14:textId="77777777" w:rsidR="00582556" w:rsidRPr="00211020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N/A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5161692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10B1B3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4220BD7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7D124570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5</w:t>
            </w:r>
          </w:p>
        </w:tc>
      </w:tr>
      <w:tr w:rsidR="00582556" w14:paraId="4178DA10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0D4462C8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Funding_Longterm_ST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138E460F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54227827" w14:textId="77777777" w:rsidR="00582556" w:rsidRPr="00211020" w:rsidRDefault="00582556" w:rsidP="00582556">
            <w:pPr>
              <w:rPr>
                <w:i/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>State resources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49684DAE" w14:textId="38E4C8B9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2D26AA03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54526716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Funding_Longterm_Fed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78499792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3A48C169" w14:textId="3BF522B2" w:rsidR="00582556" w:rsidRPr="00211020" w:rsidRDefault="00582556" w:rsidP="00582556">
            <w:pPr>
              <w:rPr>
                <w:i/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 xml:space="preserve">Federal </w:t>
            </w:r>
            <w:r w:rsidR="00B53311">
              <w:rPr>
                <w:i/>
                <w:sz w:val="20"/>
                <w:szCs w:val="20"/>
              </w:rPr>
              <w:t>r</w:t>
            </w:r>
            <w:r w:rsidRPr="00D739CB">
              <w:rPr>
                <w:i/>
                <w:sz w:val="20"/>
                <w:szCs w:val="20"/>
              </w:rPr>
              <w:t>esources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1430BF46" w14:textId="4640D710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5C385C56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3F54F6CD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Funding_Longterm_Priv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398CFBC7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70A3CAF2" w14:textId="408756D5" w:rsidR="00582556" w:rsidRPr="00211020" w:rsidRDefault="00582556" w:rsidP="00582556">
            <w:pPr>
              <w:rPr>
                <w:i/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 xml:space="preserve">Private </w:t>
            </w:r>
            <w:r w:rsidR="00B53311">
              <w:rPr>
                <w:i/>
                <w:sz w:val="20"/>
                <w:szCs w:val="20"/>
              </w:rPr>
              <w:t>c</w:t>
            </w:r>
            <w:r w:rsidRPr="00D739CB">
              <w:rPr>
                <w:i/>
                <w:sz w:val="20"/>
                <w:szCs w:val="20"/>
              </w:rPr>
              <w:t>ontributions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56AD94F5" w14:textId="231AF0F0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54DC8D74" w14:textId="77777777" w:rsidTr="00131342">
        <w:tc>
          <w:tcPr>
            <w:tcW w:w="3004" w:type="dxa"/>
            <w:shd w:val="clear" w:color="auto" w:fill="F2DBDB" w:themeFill="accent2" w:themeFillTint="33"/>
            <w:vAlign w:val="bottom"/>
          </w:tcPr>
          <w:p w14:paraId="793B2734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Funding_Longterm_Fee</w:t>
            </w:r>
          </w:p>
        </w:tc>
        <w:tc>
          <w:tcPr>
            <w:tcW w:w="2639" w:type="dxa"/>
            <w:shd w:val="clear" w:color="auto" w:fill="F2DBDB" w:themeFill="accent2" w:themeFillTint="33"/>
          </w:tcPr>
          <w:p w14:paraId="6D5BFF88" w14:textId="77777777" w:rsidR="00582556" w:rsidRDefault="00582556" w:rsidP="00582556"/>
        </w:tc>
        <w:tc>
          <w:tcPr>
            <w:tcW w:w="2542" w:type="dxa"/>
            <w:shd w:val="clear" w:color="auto" w:fill="F2DBDB" w:themeFill="accent2" w:themeFillTint="33"/>
          </w:tcPr>
          <w:p w14:paraId="7D66F82B" w14:textId="5B99EC92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i/>
                <w:sz w:val="20"/>
                <w:szCs w:val="20"/>
              </w:rPr>
              <w:t xml:space="preserve">Participant </w:t>
            </w:r>
            <w:r w:rsidR="00B53311">
              <w:rPr>
                <w:i/>
                <w:sz w:val="20"/>
                <w:szCs w:val="20"/>
              </w:rPr>
              <w:t>f</w:t>
            </w:r>
            <w:r w:rsidRPr="00D739CB">
              <w:rPr>
                <w:i/>
                <w:sz w:val="20"/>
                <w:szCs w:val="20"/>
              </w:rPr>
              <w:t>ees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724B7BE2" w14:textId="3B157E85" w:rsidR="00582556" w:rsidRPr="00D739CB" w:rsidRDefault="00B53311" w:rsidP="0058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582556" w14:paraId="1B13C8C5" w14:textId="77777777" w:rsidTr="00131342">
        <w:tc>
          <w:tcPr>
            <w:tcW w:w="10345" w:type="dxa"/>
            <w:gridSpan w:val="4"/>
            <w:shd w:val="clear" w:color="auto" w:fill="D99594" w:themeFill="accent2" w:themeFillTint="99"/>
            <w:vAlign w:val="bottom"/>
          </w:tcPr>
          <w:p w14:paraId="2C2B7AD3" w14:textId="77777777" w:rsidR="00582556" w:rsidRPr="00D739CB" w:rsidRDefault="00582556" w:rsidP="00582556">
            <w:pPr>
              <w:jc w:val="center"/>
              <w:rPr>
                <w:sz w:val="20"/>
                <w:szCs w:val="20"/>
              </w:rPr>
            </w:pPr>
            <w:r w:rsidRPr="0064501F">
              <w:rPr>
                <w:sz w:val="40"/>
                <w:szCs w:val="20"/>
              </w:rPr>
              <w:t>Liability</w:t>
            </w:r>
          </w:p>
        </w:tc>
      </w:tr>
      <w:tr w:rsidR="00582556" w14:paraId="15D6F0CF" w14:textId="77777777" w:rsidTr="00131342">
        <w:tc>
          <w:tcPr>
            <w:tcW w:w="3004" w:type="dxa"/>
            <w:shd w:val="clear" w:color="auto" w:fill="auto"/>
          </w:tcPr>
          <w:p w14:paraId="6109F86B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Variable Name</w:t>
            </w:r>
          </w:p>
        </w:tc>
        <w:tc>
          <w:tcPr>
            <w:tcW w:w="2639" w:type="dxa"/>
            <w:shd w:val="clear" w:color="auto" w:fill="auto"/>
          </w:tcPr>
          <w:p w14:paraId="568C0C51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Question</w:t>
            </w:r>
          </w:p>
        </w:tc>
        <w:tc>
          <w:tcPr>
            <w:tcW w:w="2542" w:type="dxa"/>
            <w:shd w:val="clear" w:color="auto" w:fill="auto"/>
          </w:tcPr>
          <w:p w14:paraId="55C16B65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Answer Options</w:t>
            </w:r>
          </w:p>
        </w:tc>
        <w:tc>
          <w:tcPr>
            <w:tcW w:w="2160" w:type="dxa"/>
            <w:shd w:val="clear" w:color="auto" w:fill="auto"/>
          </w:tcPr>
          <w:p w14:paraId="7841F813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Dataset</w:t>
            </w:r>
            <w:r w:rsidRPr="00582556">
              <w:rPr>
                <w:rFonts w:ascii="Calibri" w:hAnsi="Calibri"/>
                <w:color w:val="000000"/>
              </w:rPr>
              <w:t xml:space="preserve"> Value</w:t>
            </w:r>
          </w:p>
        </w:tc>
      </w:tr>
      <w:tr w:rsidR="00582556" w14:paraId="53EDD1BB" w14:textId="77777777" w:rsidTr="00131342">
        <w:tc>
          <w:tcPr>
            <w:tcW w:w="3004" w:type="dxa"/>
            <w:shd w:val="clear" w:color="auto" w:fill="D99594" w:themeFill="accent2" w:themeFillTint="99"/>
            <w:vAlign w:val="bottom"/>
          </w:tcPr>
          <w:p w14:paraId="71E0EB1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Liability</w:t>
            </w:r>
          </w:p>
        </w:tc>
        <w:tc>
          <w:tcPr>
            <w:tcW w:w="2639" w:type="dxa"/>
            <w:shd w:val="clear" w:color="auto" w:fill="D99594" w:themeFill="accent2" w:themeFillTint="99"/>
          </w:tcPr>
          <w:p w14:paraId="5CA7026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provide immunity from liability for the HIE/HIO or its participants?</w:t>
            </w:r>
          </w:p>
        </w:tc>
        <w:tc>
          <w:tcPr>
            <w:tcW w:w="2542" w:type="dxa"/>
            <w:shd w:val="clear" w:color="auto" w:fill="D99594" w:themeFill="accent2" w:themeFillTint="99"/>
          </w:tcPr>
          <w:p w14:paraId="0E13325C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HIE</w:t>
            </w:r>
          </w:p>
          <w:p w14:paraId="117FB536" w14:textId="19603162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H</w:t>
            </w:r>
            <w:r w:rsidR="00B53311">
              <w:rPr>
                <w:sz w:val="20"/>
                <w:szCs w:val="20"/>
              </w:rPr>
              <w:t>ealthcare</w:t>
            </w:r>
            <w:r w:rsidRPr="00D739CB">
              <w:rPr>
                <w:sz w:val="20"/>
                <w:szCs w:val="20"/>
              </w:rPr>
              <w:t xml:space="preserve"> </w:t>
            </w:r>
            <w:r w:rsidR="00B53311">
              <w:rPr>
                <w:sz w:val="20"/>
                <w:szCs w:val="20"/>
              </w:rPr>
              <w:t>p</w:t>
            </w:r>
            <w:r w:rsidRPr="00D739CB">
              <w:rPr>
                <w:sz w:val="20"/>
                <w:szCs w:val="20"/>
              </w:rPr>
              <w:t>rovider</w:t>
            </w:r>
          </w:p>
          <w:p w14:paraId="6B579E8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Both</w:t>
            </w:r>
          </w:p>
          <w:p w14:paraId="1B69669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No/Not mentioned</w:t>
            </w:r>
          </w:p>
          <w:p w14:paraId="359104D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D99594" w:themeFill="accent2" w:themeFillTint="99"/>
          </w:tcPr>
          <w:p w14:paraId="1772C9F4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29BA4B11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6ADE923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779BDC9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  <w:p w14:paraId="316A3E89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6</w:t>
            </w:r>
          </w:p>
        </w:tc>
      </w:tr>
      <w:tr w:rsidR="00582556" w14:paraId="70B0CA48" w14:textId="77777777" w:rsidTr="00131342">
        <w:tc>
          <w:tcPr>
            <w:tcW w:w="10345" w:type="dxa"/>
            <w:gridSpan w:val="4"/>
            <w:shd w:val="clear" w:color="auto" w:fill="D99594" w:themeFill="accent2" w:themeFillTint="99"/>
            <w:vAlign w:val="bottom"/>
          </w:tcPr>
          <w:p w14:paraId="6593C31B" w14:textId="58C12430" w:rsidR="00582556" w:rsidRPr="0064501F" w:rsidRDefault="00131342" w:rsidP="00582556">
            <w:pPr>
              <w:jc w:val="center"/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Interjurisdictional Exchange</w:t>
            </w:r>
          </w:p>
        </w:tc>
      </w:tr>
      <w:tr w:rsidR="00582556" w14:paraId="530C13A8" w14:textId="77777777" w:rsidTr="00131342">
        <w:tc>
          <w:tcPr>
            <w:tcW w:w="3004" w:type="dxa"/>
            <w:shd w:val="clear" w:color="auto" w:fill="auto"/>
          </w:tcPr>
          <w:p w14:paraId="494D2670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Variable Name</w:t>
            </w:r>
          </w:p>
        </w:tc>
        <w:tc>
          <w:tcPr>
            <w:tcW w:w="2639" w:type="dxa"/>
            <w:shd w:val="clear" w:color="auto" w:fill="auto"/>
          </w:tcPr>
          <w:p w14:paraId="2FC88150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Question</w:t>
            </w:r>
          </w:p>
        </w:tc>
        <w:tc>
          <w:tcPr>
            <w:tcW w:w="2542" w:type="dxa"/>
            <w:shd w:val="clear" w:color="auto" w:fill="auto"/>
          </w:tcPr>
          <w:p w14:paraId="3A159FBF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 w:rsidRPr="00582556">
              <w:rPr>
                <w:rFonts w:ascii="Calibri" w:hAnsi="Calibri"/>
                <w:color w:val="000000"/>
              </w:rPr>
              <w:t>Answer Options</w:t>
            </w:r>
          </w:p>
        </w:tc>
        <w:tc>
          <w:tcPr>
            <w:tcW w:w="2160" w:type="dxa"/>
            <w:shd w:val="clear" w:color="auto" w:fill="auto"/>
          </w:tcPr>
          <w:p w14:paraId="6A9E3960" w14:textId="77777777" w:rsidR="00582556" w:rsidRP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Dataset</w:t>
            </w:r>
            <w:r w:rsidRPr="00582556">
              <w:rPr>
                <w:rFonts w:ascii="Calibri" w:hAnsi="Calibri"/>
                <w:color w:val="000000"/>
              </w:rPr>
              <w:t xml:space="preserve"> Value</w:t>
            </w:r>
          </w:p>
        </w:tc>
      </w:tr>
      <w:tr w:rsidR="00582556" w14:paraId="735A0C85" w14:textId="77777777" w:rsidTr="00131342">
        <w:tc>
          <w:tcPr>
            <w:tcW w:w="3004" w:type="dxa"/>
            <w:shd w:val="clear" w:color="auto" w:fill="D99594" w:themeFill="accent2" w:themeFillTint="99"/>
            <w:vAlign w:val="bottom"/>
          </w:tcPr>
          <w:p w14:paraId="115AF092" w14:textId="77777777" w:rsidR="00582556" w:rsidRDefault="00582556" w:rsidP="005825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Interjurisdiction</w:t>
            </w:r>
          </w:p>
        </w:tc>
        <w:tc>
          <w:tcPr>
            <w:tcW w:w="2639" w:type="dxa"/>
            <w:shd w:val="clear" w:color="auto" w:fill="D99594" w:themeFill="accent2" w:themeFillTint="99"/>
          </w:tcPr>
          <w:p w14:paraId="68CBD107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>
              <w:t>Does the law address the exchange of data across state borders?</w:t>
            </w:r>
          </w:p>
        </w:tc>
        <w:tc>
          <w:tcPr>
            <w:tcW w:w="2542" w:type="dxa"/>
            <w:shd w:val="clear" w:color="auto" w:fill="D99594" w:themeFill="accent2" w:themeFillTint="99"/>
          </w:tcPr>
          <w:p w14:paraId="6E1ED80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authorizes it</w:t>
            </w:r>
          </w:p>
          <w:p w14:paraId="30526042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Yes, does not authorize it</w:t>
            </w:r>
          </w:p>
          <w:p w14:paraId="6343840A" w14:textId="1A534AAE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 xml:space="preserve">Not </w:t>
            </w:r>
            <w:r w:rsidR="00B53311">
              <w:rPr>
                <w:sz w:val="20"/>
                <w:szCs w:val="20"/>
              </w:rPr>
              <w:t>m</w:t>
            </w:r>
            <w:r w:rsidRPr="00D739CB">
              <w:rPr>
                <w:sz w:val="20"/>
                <w:szCs w:val="20"/>
              </w:rPr>
              <w:t>entioned</w:t>
            </w:r>
          </w:p>
          <w:p w14:paraId="302D5916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Ambiguous</w:t>
            </w:r>
          </w:p>
        </w:tc>
        <w:tc>
          <w:tcPr>
            <w:tcW w:w="2160" w:type="dxa"/>
            <w:shd w:val="clear" w:color="auto" w:fill="D99594" w:themeFill="accent2" w:themeFillTint="99"/>
          </w:tcPr>
          <w:p w14:paraId="56BF789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1</w:t>
            </w:r>
          </w:p>
          <w:p w14:paraId="0A81D2EF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2</w:t>
            </w:r>
          </w:p>
          <w:p w14:paraId="3185D665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3</w:t>
            </w:r>
          </w:p>
          <w:p w14:paraId="767EA3AD" w14:textId="77777777" w:rsidR="00582556" w:rsidRPr="00D739CB" w:rsidRDefault="00582556" w:rsidP="00582556">
            <w:pPr>
              <w:rPr>
                <w:sz w:val="20"/>
                <w:szCs w:val="20"/>
              </w:rPr>
            </w:pPr>
            <w:r w:rsidRPr="00D739CB">
              <w:rPr>
                <w:sz w:val="20"/>
                <w:szCs w:val="20"/>
              </w:rPr>
              <w:t>4</w:t>
            </w:r>
          </w:p>
        </w:tc>
      </w:tr>
    </w:tbl>
    <w:p w14:paraId="609F4113" w14:textId="77777777" w:rsidR="00DC57CC" w:rsidRDefault="00DC57CC"/>
    <w:p w14:paraId="5890725B" w14:textId="77777777" w:rsidR="00C470CC" w:rsidRDefault="00C470CC"/>
    <w:sectPr w:rsidR="00C470CC" w:rsidSect="006C6578">
      <w:headerReference w:type="default" r:id="rId7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E1257" w14:textId="77777777" w:rsidR="00CD2D54" w:rsidRDefault="00CD2D54" w:rsidP="008B5D54">
      <w:pPr>
        <w:spacing w:after="0" w:line="240" w:lineRule="auto"/>
      </w:pPr>
      <w:r>
        <w:separator/>
      </w:r>
    </w:p>
  </w:endnote>
  <w:endnote w:type="continuationSeparator" w:id="0">
    <w:p w14:paraId="745E3887" w14:textId="77777777" w:rsidR="00CD2D54" w:rsidRDefault="00CD2D54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F4FC2" w14:textId="77777777" w:rsidR="00CD2D54" w:rsidRDefault="00CD2D54" w:rsidP="008B5D54">
      <w:pPr>
        <w:spacing w:after="0" w:line="240" w:lineRule="auto"/>
      </w:pPr>
      <w:r>
        <w:separator/>
      </w:r>
    </w:p>
  </w:footnote>
  <w:footnote w:type="continuationSeparator" w:id="0">
    <w:p w14:paraId="5A06FF8A" w14:textId="77777777" w:rsidR="00CD2D54" w:rsidRDefault="00CD2D54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BD737" w14:textId="77777777" w:rsidR="00684BCF" w:rsidRDefault="00684BCF">
    <w:pPr>
      <w:pStyle w:val="Header"/>
    </w:pPr>
    <w:r>
      <w:t>HIE Assessment Codebook</w:t>
    </w:r>
  </w:p>
  <w:p w14:paraId="42AC0111" w14:textId="77777777" w:rsidR="00684BCF" w:rsidRDefault="00684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trackRevisio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A0"/>
    <w:rsid w:val="00036522"/>
    <w:rsid w:val="000940F3"/>
    <w:rsid w:val="000B07E5"/>
    <w:rsid w:val="000C1D38"/>
    <w:rsid w:val="000F2034"/>
    <w:rsid w:val="00101985"/>
    <w:rsid w:val="00131342"/>
    <w:rsid w:val="001C6A0D"/>
    <w:rsid w:val="001C6ACF"/>
    <w:rsid w:val="00211020"/>
    <w:rsid w:val="0032230C"/>
    <w:rsid w:val="00330D81"/>
    <w:rsid w:val="003418DE"/>
    <w:rsid w:val="004126F5"/>
    <w:rsid w:val="004C4588"/>
    <w:rsid w:val="004D0CD2"/>
    <w:rsid w:val="005330B7"/>
    <w:rsid w:val="00582556"/>
    <w:rsid w:val="005A34AE"/>
    <w:rsid w:val="005D6AA4"/>
    <w:rsid w:val="00607C75"/>
    <w:rsid w:val="0064501F"/>
    <w:rsid w:val="006573FC"/>
    <w:rsid w:val="00684BCF"/>
    <w:rsid w:val="00696E8F"/>
    <w:rsid w:val="006C6578"/>
    <w:rsid w:val="0070437A"/>
    <w:rsid w:val="007B5CD4"/>
    <w:rsid w:val="008B5D54"/>
    <w:rsid w:val="00900CA7"/>
    <w:rsid w:val="009631D9"/>
    <w:rsid w:val="00994977"/>
    <w:rsid w:val="009C78C9"/>
    <w:rsid w:val="009F1801"/>
    <w:rsid w:val="009F4FA8"/>
    <w:rsid w:val="00A84819"/>
    <w:rsid w:val="00B53311"/>
    <w:rsid w:val="00B55735"/>
    <w:rsid w:val="00B608AC"/>
    <w:rsid w:val="00B63A51"/>
    <w:rsid w:val="00B649BE"/>
    <w:rsid w:val="00B67983"/>
    <w:rsid w:val="00B92FDA"/>
    <w:rsid w:val="00BD28D7"/>
    <w:rsid w:val="00C23235"/>
    <w:rsid w:val="00C470CC"/>
    <w:rsid w:val="00CD2D54"/>
    <w:rsid w:val="00D30967"/>
    <w:rsid w:val="00D372EB"/>
    <w:rsid w:val="00D739CB"/>
    <w:rsid w:val="00D75659"/>
    <w:rsid w:val="00DC57CC"/>
    <w:rsid w:val="00DE1A87"/>
    <w:rsid w:val="00E161A0"/>
    <w:rsid w:val="00E345FB"/>
    <w:rsid w:val="00EB3BDF"/>
    <w:rsid w:val="00EF6530"/>
    <w:rsid w:val="00F70E4E"/>
    <w:rsid w:val="00FF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96DAD22"/>
  <w15:docId w15:val="{177B5636-E64A-4145-8D91-BC7FB097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table" w:styleId="TableGrid">
    <w:name w:val="Table Grid"/>
    <w:basedOn w:val="TableNormal"/>
    <w:uiPriority w:val="59"/>
    <w:rsid w:val="00E16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E161A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EB3B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5330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75659"/>
    <w:rPr>
      <w:i/>
      <w:iCs/>
      <w:color w:val="404040" w:themeColor="text1" w:themeTint="BF"/>
    </w:rPr>
  </w:style>
  <w:style w:type="paragraph" w:customStyle="1" w:styleId="Default">
    <w:name w:val="Default"/>
    <w:rsid w:val="00C470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Heading1black">
    <w:name w:val="Heading 1 black"/>
    <w:basedOn w:val="Title"/>
    <w:rsid w:val="00C470CC"/>
    <w:pPr>
      <w:tabs>
        <w:tab w:val="left" w:pos="230"/>
        <w:tab w:val="left" w:pos="475"/>
        <w:tab w:val="left" w:pos="720"/>
        <w:tab w:val="left" w:pos="965"/>
        <w:tab w:val="left" w:pos="1210"/>
        <w:tab w:val="left" w:pos="1440"/>
      </w:tabs>
      <w:spacing w:before="40" w:after="60" w:line="252" w:lineRule="auto"/>
    </w:pPr>
    <w:rPr>
      <w:rFonts w:ascii="Arial" w:eastAsia="Times New Roman" w:hAnsi="Arial" w:cs="Times New Roman"/>
      <w:b/>
      <w:spacing w:val="5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C47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34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5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5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F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4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25BE6-8919-4528-800F-C842BC21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Wetter, Sarah (CDC/OSTLTS/OD) (CTR)</dc:creator>
  <cp:keywords/>
  <dc:description/>
  <cp:lastModifiedBy>Hulkower, Rachel (CDC/ONDIEH/NCBDDD) (CTR)</cp:lastModifiedBy>
  <cp:revision>2</cp:revision>
  <dcterms:created xsi:type="dcterms:W3CDTF">2016-11-15T20:59:00Z</dcterms:created>
  <dcterms:modified xsi:type="dcterms:W3CDTF">2016-11-15T20:59:00Z</dcterms:modified>
</cp:coreProperties>
</file>