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ISM 310 Health Network Intern Workbook</w:t>
      </w:r>
    </w:p>
    <w:p>
      <w:r>
        <w:t>Risk assessment and risk management practice | October 22 2026</w:t>
      </w:r>
    </w:p>
    <w:p>
      <w:r>
        <w:t>Act as an IT intern preparing a scoped recommendation for Health Network management. This ungraded activity connects lecture concepts to the existing project sequence. Use the eight-step HTML lab or complete these pages with your team. Download the browser packet before leaving a shared device.</w:t>
      </w:r>
    </w:p>
    <w:p>
      <w:pPr>
        <w:pStyle w:val="Heading1"/>
      </w:pPr>
      <w:r>
        <w:t>Case boundary</w:t>
      </w:r>
    </w:p>
    <w:p>
      <w:r>
        <w:t>The base course case describes HNetExchange, HNetPay, HNetConnect, and third-party hosting. It does not establish PHP use. E1–E6 below are invented additions for this lecture. Treat proposed roles, ratings, targets, and recovery results as exercise assumptions or evidence, not as real findings or amendments to the project source scenario.</w:t>
      </w:r>
    </w:p>
    <w:p>
      <w:pPr>
        <w:pStyle w:val="Heading1"/>
      </w:pPr>
      <w:r>
        <w:t>Team process</w:t>
      </w:r>
    </w:p>
    <w:p>
      <w:r>
        <w:t>Rotate intern analyst, evidence checker, manager, and reporter. Read the record, select a decision, enter short reasoning, check feedback, and continue. Later steps unlock sequentially. Wrong choices may advance after feedback. Decisions earn teaching points; written reasoning requires human review. Do not enter names, credentials, personal data, or graded work.</w:t>
      </w:r>
    </w:p>
    <w:p>
      <w:pPr>
        <w:pStyle w:val="Heading1"/>
      </w:pPr>
      <w:r>
        <w:t>Evidence packet</w:t>
      </w:r>
    </w:p>
    <w:p>
      <w:pPr>
        <w:pStyle w:val="ListBullet"/>
      </w:pPr>
      <w:r>
        <w:t>E1: An advisory arrives; product runtime exposure is unknown.</w:t>
      </w:r>
    </w:p>
    <w:p>
      <w:pPr>
        <w:pStyle w:val="ListBullet"/>
      </w:pPr>
      <w:r>
        <w:t>E2: Fictional provider confirms a public HNetPay route using an affected, unpatched PHP runtime. Other products remain unverified.</w:t>
      </w:r>
    </w:p>
    <w:p>
      <w:pPr>
        <w:pStyle w:val="ListBullet"/>
      </w:pPr>
      <w:r>
        <w:t>E3: Request failures and worker restarts occur near maintenance. No confirmed exploitation or data extraction is supplied.</w:t>
      </w:r>
    </w:p>
    <w:p>
      <w:pPr>
        <w:pStyle w:val="ListBullet"/>
      </w:pPr>
      <w:r>
        <w:t>E4: Provider offers an update during an approved window; a manager can authorize an interim route restriction and a non-sensitive continuity process.</w:t>
      </w:r>
    </w:p>
    <w:p>
      <w:pPr>
        <w:pStyle w:val="ListBullet"/>
      </w:pPr>
      <w:r>
        <w:t>E5: A ticket reports an update; active-runtime, business-function, and incident-scope checks remain outstanding.</w:t>
      </w:r>
    </w:p>
    <w:p>
      <w:pPr>
        <w:pStyle w:val="ListBullet"/>
      </w:pPr>
      <w:r>
        <w:t>E6: Exercise RTO is 4 hours and RPO 1 hour. A login page returns at 2 hours; usable processing returns at 5 hours with data 20 minutes old. MTD is unknown.</w:t>
      </w:r>
    </w:p>
    <w:p>
      <w:pPr>
        <w:pStyle w:val="Heading1"/>
        <w:pageBreakBefore/>
      </w:pPr>
      <w:r>
        <w:t>Intern checklist and course connections</w:t>
      </w:r>
    </w:p>
    <w:p>
      <w:r>
        <w:t>[ ] Prepare the assessment — Scope and authorization record</w:t>
      </w:r>
    </w:p>
    <w:p>
      <w:r>
        <w:t>[ ] Identify assets and exposure — Asset and dependency record</w:t>
      </w:r>
    </w:p>
    <w:p>
      <w:r>
        <w:t>[ ] Write the risk statement — Risk register entry HN-PHP-01</w:t>
      </w:r>
    </w:p>
    <w:p>
      <w:r>
        <w:t>[ ] Assess likelihood and impact — Qualitative assessment rationale</w:t>
      </w:r>
    </w:p>
    <w:p>
      <w:r>
        <w:t>[ ] Check compliance relevance — Applicability question log</w:t>
      </w:r>
    </w:p>
    <w:p>
      <w:r>
        <w:t>[ ] Recommend risk treatment — Treatment and approval record</w:t>
      </w:r>
    </w:p>
    <w:p>
      <w:r>
        <w:t>[ ] Verify and communicate — Verification checklist and management handoff</w:t>
      </w:r>
    </w:p>
    <w:p>
      <w:r>
        <w:t>[ ] Maintain and review — Review trigger and recovery record</w:t>
      </w:r>
    </w:p>
    <w:p>
      <w:r>
        <w:t>For each record, identify the evidence source, what it supports, what is unknown, and who reviews the result. Completing a checkbox does not establish that a control operates or that an assessment is valid.</w:t>
      </w:r>
    </w:p>
    <w:tbl>
      <w:tblPr>
        <w:tblW w:type="auto" w:w="0"/>
        <w:tblLayout w:type="fixed"/>
        <w:tblLook w:firstColumn="1" w:firstRow="1" w:lastColumn="0" w:lastRow="0" w:noHBand="0" w:noVBand="1" w:val="04A0"/>
      </w:tblPr>
      <w:tblGrid>
        <w:gridCol w:w="4032"/>
        <w:gridCol w:w="5328"/>
      </w:tblGrid>
      <w:tr>
        <w:trPr>
          <w:cantSplit/>
          <w:tblHeader/>
        </w:trPr>
        <w:tc>
          <w:tcPr>
            <w:tcW w:type="dxa" w:w="4032"/>
            <w:vAlign w:val="center"/>
            <w:tcBorders>
              <w:top w:val="single" w:sz="4" w:color="D9D9D9"/>
              <w:left w:val="single" w:sz="4" w:color="D9D9D9"/>
              <w:bottom w:val="single" w:sz="4" w:color="D9D9D9"/>
              <w:right w:val="single" w:sz="4" w:color="D9D9D9"/>
            </w:tcBorders>
            <w:shd w:fill="DCE6F1"/>
          </w:tcPr>
          <w:p>
            <w:pPr>
              <w:spacing w:after="80" w:line="240" w:lineRule="auto"/>
            </w:pPr>
            <w:r>
              <w:rPr>
                <w:b/>
                <w:sz w:val="22"/>
              </w:rPr>
              <w:t>Course material</w:t>
            </w:r>
          </w:p>
        </w:tc>
        <w:tc>
          <w:tcPr>
            <w:tcW w:type="dxa" w:w="5328"/>
            <w:vAlign w:val="center"/>
            <w:tcBorders>
              <w:top w:val="single" w:sz="4" w:color="D9D9D9"/>
              <w:left w:val="single" w:sz="4" w:color="D9D9D9"/>
              <w:bottom w:val="single" w:sz="4" w:color="D9D9D9"/>
              <w:right w:val="single" w:sz="4" w:color="D9D9D9"/>
            </w:tcBorders>
            <w:shd w:fill="DCE6F1"/>
          </w:tcPr>
          <w:p>
            <w:pPr>
              <w:spacing w:after="80" w:line="240" w:lineRule="auto"/>
            </w:pPr>
            <w:r>
              <w:rPr>
                <w:b/>
                <w:sz w:val="22"/>
              </w:rPr>
              <w:t>Use in this practice</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after="80" w:line="240" w:lineRule="auto"/>
            </w:pPr>
            <w:r>
              <w:rPr>
                <w:b w:val="0"/>
                <w:sz w:val="22"/>
              </w:rPr>
              <w:t>Project 1 task and rubric</w:t>
            </w:r>
          </w:p>
        </w:tc>
        <w:tc>
          <w:tcPr>
            <w:tcW w:type="dxa" w:w="5328"/>
            <w:vAlign w:val="center"/>
            <w:tcBorders>
              <w:top w:val="single" w:sz="4" w:color="D9D9D9"/>
              <w:left w:val="single" w:sz="4" w:color="D9D9D9"/>
              <w:bottom w:val="single" w:sz="4" w:color="D9D9D9"/>
              <w:right w:val="single" w:sz="4" w:color="D9D9D9"/>
            </w:tcBorders>
          </w:tcPr>
          <w:p>
            <w:pPr>
              <w:spacing w:after="80" w:line="240" w:lineRule="auto"/>
            </w:pPr>
            <w:r>
              <w:rPr>
                <w:b w:val="0"/>
                <w:sz w:val="22"/>
              </w:rPr>
              <w:t>Scope, responsibilities, compliance questions, schedule.</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after="80" w:line="240" w:lineRule="auto"/>
            </w:pPr>
            <w:r>
              <w:rPr>
                <w:b w:val="0"/>
                <w:sz w:val="22"/>
              </w:rPr>
              <w:t>Project 2 task and assigned SP 800-30</w:t>
            </w:r>
          </w:p>
        </w:tc>
        <w:tc>
          <w:tcPr>
            <w:tcW w:type="dxa" w:w="5328"/>
            <w:vAlign w:val="center"/>
            <w:tcBorders>
              <w:top w:val="single" w:sz="4" w:color="D9D9D9"/>
              <w:left w:val="single" w:sz="4" w:color="D9D9D9"/>
              <w:bottom w:val="single" w:sz="4" w:color="D9D9D9"/>
              <w:right w:val="single" w:sz="4" w:color="D9D9D9"/>
            </w:tcBorders>
          </w:tcPr>
          <w:p>
            <w:pPr>
              <w:spacing w:after="80" w:line="240" w:lineRule="auto"/>
            </w:pPr>
            <w:r>
              <w:rPr>
                <w:b w:val="0"/>
                <w:sz w:val="22"/>
              </w:rPr>
              <w:t>Assessment approach, information needs, likelihood and impact reasoning.</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after="80" w:line="240" w:lineRule="auto"/>
            </w:pPr>
            <w:r>
              <w:rPr>
                <w:b w:val="0"/>
                <w:sz w:val="22"/>
              </w:rPr>
              <w:t>Project 3 task and CIS Controls v8 Guide</w:t>
            </w:r>
          </w:p>
        </w:tc>
        <w:tc>
          <w:tcPr>
            <w:tcW w:type="dxa" w:w="5328"/>
            <w:vAlign w:val="center"/>
            <w:tcBorders>
              <w:top w:val="single" w:sz="4" w:color="D9D9D9"/>
              <w:left w:val="single" w:sz="4" w:color="D9D9D9"/>
              <w:bottom w:val="single" w:sz="4" w:color="D9D9D9"/>
              <w:right w:val="single" w:sz="4" w:color="D9D9D9"/>
            </w:tcBorders>
          </w:tcPr>
          <w:p>
            <w:pPr>
              <w:spacing w:after="80" w:line="240" w:lineRule="auto"/>
            </w:pPr>
            <w:r>
              <w:rPr>
                <w:b w:val="0"/>
                <w:sz w:val="22"/>
              </w:rPr>
              <w:t>Treatment mechanism, implementation owner, verification and monitoring.</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after="80" w:line="240" w:lineRule="auto"/>
            </w:pPr>
            <w:r>
              <w:rPr>
                <w:b w:val="0"/>
                <w:sz w:val="22"/>
              </w:rPr>
              <w:t>Project 4 tasks and BIA resources</w:t>
            </w:r>
          </w:p>
        </w:tc>
        <w:tc>
          <w:tcPr>
            <w:tcW w:type="dxa" w:w="5328"/>
            <w:vAlign w:val="center"/>
            <w:tcBorders>
              <w:top w:val="single" w:sz="4" w:color="D9D9D9"/>
              <w:left w:val="single" w:sz="4" w:color="D9D9D9"/>
              <w:bottom w:val="single" w:sz="4" w:color="D9D9D9"/>
              <w:right w:val="single" w:sz="4" w:color="D9D9D9"/>
            </w:tcBorders>
          </w:tcPr>
          <w:p>
            <w:pPr>
              <w:spacing w:after="80" w:line="240" w:lineRule="auto"/>
            </w:pPr>
            <w:r>
              <w:rPr>
                <w:b w:val="0"/>
                <w:sz w:val="22"/>
              </w:rPr>
              <w:t>Business consequences, recovery priorities, continuity and tests.</w:t>
            </w:r>
          </w:p>
        </w:tc>
      </w:tr>
      <w:tr>
        <w:trPr>
          <w:cantSplit/>
        </w:trPr>
        <w:tc>
          <w:tcPr>
            <w:tcW w:type="dxa" w:w="4032"/>
            <w:vAlign w:val="center"/>
            <w:tcBorders>
              <w:top w:val="single" w:sz="4" w:color="D9D9D9"/>
              <w:left w:val="single" w:sz="4" w:color="D9D9D9"/>
              <w:bottom w:val="single" w:sz="4" w:color="D9D9D9"/>
              <w:right w:val="single" w:sz="4" w:color="D9D9D9"/>
            </w:tcBorders>
          </w:tcPr>
          <w:p>
            <w:pPr>
              <w:spacing w:after="80" w:line="240" w:lineRule="auto"/>
            </w:pPr>
            <w:r>
              <w:rPr>
                <w:b w:val="0"/>
                <w:sz w:val="22"/>
              </w:rPr>
              <w:t>SP 800-171 assigned reading</w:t>
            </w:r>
          </w:p>
        </w:tc>
        <w:tc>
          <w:tcPr>
            <w:tcW w:type="dxa" w:w="5328"/>
            <w:vAlign w:val="center"/>
            <w:tcBorders>
              <w:top w:val="single" w:sz="4" w:color="D9D9D9"/>
              <w:left w:val="single" w:sz="4" w:color="D9D9D9"/>
              <w:bottom w:val="single" w:sz="4" w:color="D9D9D9"/>
              <w:right w:val="single" w:sz="4" w:color="D9D9D9"/>
            </w:tcBorders>
          </w:tcPr>
          <w:p>
            <w:pPr>
              <w:spacing w:after="80" w:line="240" w:lineRule="auto"/>
            </w:pPr>
            <w:r>
              <w:rPr>
                <w:b w:val="0"/>
                <w:sz w:val="22"/>
              </w:rPr>
              <w:t>Evaluate CUI relevance when established; do not invent CUI scope.</w:t>
            </w:r>
          </w:p>
        </w:tc>
      </w:tr>
    </w:tbl>
    <w:p/>
    <w:p>
      <w:r>
        <w:t>The source inventory includes preparedness_bulletin_business_impact_analysis.pdf, sp800-34-rev1_bia_template.docx, and Business-Impact-Analysis-BIA-Process-and-Template (1).docx. Find the assigned copies in Canvas and check their stated revision. The lecture checklist is a teaching aid, not an official NIST form or a new graded deliverable.</w:t>
      </w:r>
    </w:p>
    <w:p>
      <w:pPr>
        <w:pStyle w:val="Heading1"/>
        <w:pageBreakBefore/>
      </w:pPr>
      <w:r>
        <w:t>Assessment working record</w:t>
      </w:r>
    </w:p>
    <w:p>
      <w:pPr>
        <w:pStyle w:val="Heading1"/>
      </w:pPr>
      <w:r>
        <w:t>Scope and authorization</w:t>
      </w:r>
    </w:p>
    <w:p>
      <w:r>
        <w:t>Product and dependency; business objective; inclusions; exclusions or unknowns; approver and authorized methods.</w:t>
      </w:r>
    </w:p>
    <w:p>
      <w:r>
        <w:t>Response: __________________________________________________________</w:t>
        <w:br/>
        <w:t>___________________________________________________________________</w:t>
      </w:r>
    </w:p>
    <w:p>
      <w:pPr>
        <w:pStyle w:val="Heading1"/>
      </w:pPr>
      <w:r>
        <w:t>Evidence record</w:t>
      </w:r>
    </w:p>
    <w:p>
      <w:r>
        <w:t>E2 versus E3: identify a confirmed exercise fact, an inference, a missing fact, and the appropriate evidence request.</w:t>
      </w:r>
    </w:p>
    <w:p>
      <w:r>
        <w:t>Response: __________________________________________________________</w:t>
        <w:br/>
        <w:t>___________________________________________________________________</w:t>
      </w:r>
    </w:p>
    <w:p>
      <w:pPr>
        <w:pStyle w:val="Heading1"/>
      </w:pPr>
      <w:r>
        <w:t>Risk register HN PHP 01</w:t>
      </w:r>
    </w:p>
    <w:p>
      <w:r>
        <w:t>Asset or process; threat event; vulnerability; potential consequence; existing controls evidenced; proposed owner; assumptions.</w:t>
      </w:r>
    </w:p>
    <w:p>
      <w:r>
        <w:t>Response: __________________________________________________________</w:t>
        <w:br/>
        <w:t>___________________________________________________________________</w:t>
      </w:r>
    </w:p>
    <w:p>
      <w:pPr>
        <w:pStyle w:val="Heading1"/>
      </w:pPr>
      <w:r>
        <w:t>Qualitative priority</w:t>
      </w:r>
    </w:p>
    <w:p>
      <w:r>
        <w:t>Record likelihood, impact, priority band, and the supporting rationale. Explain one uncertainty.</w:t>
      </w:r>
    </w:p>
    <w:p>
      <w:r>
        <w:t>Response: __________________________________________________________</w:t>
        <w:br/>
        <w:t>___________________________________________________________________</w:t>
      </w:r>
    </w:p>
    <w:p>
      <w:r>
        <w:t>Classroom likelihood: 1 limited credible exposure with effective safeguards evidenced; 2 credible path with incomplete evidence; 3 confirmed exposed affected runtime without the applicable fix. Impact: 1 limited recoverable disruption; 2 material interruption or limited sensitive-data harm; 3 potential major service or sensitive-data harm. L × I: 1–2 Low, 3–4 Moderate, 6–9 High. These conventions are not NIST requirements or probabilities.</w:t>
      </w:r>
    </w:p>
    <w:p>
      <w:pPr>
        <w:pStyle w:val="Heading1"/>
        <w:pageBreakBefore/>
      </w:pPr>
      <w:r>
        <w:t>Management and verification working record</w:t>
      </w:r>
    </w:p>
    <w:p>
      <w:pPr>
        <w:pStyle w:val="Heading1"/>
      </w:pPr>
      <w:r>
        <w:t>Applicability questions</w:t>
      </w:r>
    </w:p>
    <w:p>
      <w:r>
        <w:t>Candidate standard or obligation; relevant product/data; missing triggering fact; compliance reviewer.</w:t>
      </w:r>
    </w:p>
    <w:p>
      <w:r>
        <w:t>Response: __________________________________________________________</w:t>
        <w:br/>
        <w:t>___________________________________________________________________</w:t>
      </w:r>
    </w:p>
    <w:p>
      <w:pPr>
        <w:pStyle w:val="Heading1"/>
      </w:pPr>
      <w:r>
        <w:t>Treatment proposal</w:t>
      </w:r>
    </w:p>
    <w:p>
      <w:r>
        <w:t>Action; mechanism; limitations; accountable role; implementing role; approval; target milestone; delay contingency.</w:t>
      </w:r>
    </w:p>
    <w:p>
      <w:r>
        <w:t>Response: __________________________________________________________</w:t>
        <w:br/>
        <w:t>___________________________________________________________________</w:t>
      </w:r>
    </w:p>
    <w:p>
      <w:pPr>
        <w:pStyle w:val="Heading1"/>
      </w:pPr>
      <w:r>
        <w:t>Verification and residual risk</w:t>
      </w:r>
    </w:p>
    <w:p>
      <w:r>
        <w:t>Active runtime evidence; business-function checks; monitoring coverage; incident questions; residual-risk review and decision owner.</w:t>
      </w:r>
    </w:p>
    <w:p>
      <w:r>
        <w:t>Response: __________________________________________________________</w:t>
        <w:br/>
        <w:t>___________________________________________________________________</w:t>
      </w:r>
    </w:p>
    <w:p>
      <w:pPr>
        <w:pStyle w:val="Heading1"/>
      </w:pPr>
      <w:r>
        <w:t>Management handoff</w:t>
      </w:r>
    </w:p>
    <w:p>
      <w:r>
        <w:t>Finding; recommendation; why it matters; proposed owner; approval needed; unresolved question.</w:t>
      </w:r>
    </w:p>
    <w:p>
      <w:r>
        <w:t>Response: __________________________________________________________</w:t>
        <w:br/>
        <w:t>___________________________________________________________________</w:t>
      </w:r>
    </w:p>
    <w:p>
      <w:pPr>
        <w:pStyle w:val="Heading1"/>
      </w:pPr>
      <w:r>
        <w:t>Maintenance and recovery</w:t>
      </w:r>
    </w:p>
    <w:p>
      <w:r>
        <w:t>RTO/RPO result; MTD limit; reconciliation needs; review owner; reassessment triggers.</w:t>
      </w:r>
    </w:p>
    <w:p>
      <w:r>
        <w:t>Response: __________________________________________________________</w:t>
        <w:br/>
        <w:t>___________________________________________________________________</w:t>
      </w:r>
    </w:p>
    <w:p>
      <w:pPr>
        <w:pStyle w:val="Heading1"/>
        <w:pageBreakBefore/>
      </w:pPr>
      <w:r>
        <w:t>Reference starting points and exit reflection</w:t>
      </w:r>
    </w:p>
    <w:p>
      <w:r>
        <w:t>Use course readings and credible primary sources to support your reasoning. Cite the exact revision you consult. These sources do not establish any Health Network incident facts. The scenario and source readings remain in Canvas.</w:t>
      </w:r>
    </w:p>
    <w:p>
      <w:pPr>
        <w:ind w:left="720" w:hanging="720"/>
      </w:pPr>
      <w:r>
        <w:t xml:space="preserve">Joint Task Force Transformation Initiative. (2012). </w:t>
      </w:r>
      <w:r>
        <w:rPr>
          <w:i/>
        </w:rPr>
        <w:t>Guide for conducting risk assessments</w:t>
      </w:r>
      <w:r>
        <w:t xml:space="preserve"> (NIST Special Publication 800-30, Rev. 1). National Institute of Standards and Technology. https://doi.org/10.6028/NIST.SP.800-30r1</w:t>
      </w:r>
    </w:p>
    <w:p>
      <w:pPr>
        <w:ind w:left="720" w:hanging="720"/>
      </w:pPr>
      <w:r>
        <w:t xml:space="preserve">PCI Security Standards Council. (n.d.). </w:t>
      </w:r>
      <w:r>
        <w:rPr>
          <w:i/>
        </w:rPr>
        <w:t>PCI data security standard (PCI DSS)</w:t>
      </w:r>
      <w:r>
        <w:t>. https://www.pcisecuritystandards.org/standards/pci-dss/</w:t>
      </w:r>
    </w:p>
    <w:p>
      <w:pPr>
        <w:ind w:left="720" w:hanging="720"/>
      </w:pPr>
      <w:r>
        <w:t xml:space="preserve">PHP Group. (2026, October 21). </w:t>
      </w:r>
      <w:r>
        <w:rPr>
          <w:i/>
        </w:rPr>
        <w:t>Security advisory: Critical remote code execution vulnerabilities, update now</w:t>
      </w:r>
      <w:r>
        <w:t>. https://www.php.net/archive/2026.php#2026-10-21-5</w:t>
      </w:r>
    </w:p>
    <w:p>
      <w:pPr>
        <w:ind w:left="720" w:hanging="720"/>
      </w:pPr>
      <w:r>
        <w:t xml:space="preserve">Tzadik, S., Tamari, S., Ohfeld, N., &amp; Schwartz, T. (2026, October 21). </w:t>
      </w:r>
      <w:r>
        <w:rPr>
          <w:i/>
        </w:rPr>
        <w:t>PHP2Shell: AI uncovers critical RCE vulnerabilities affecting 70% of the Internet</w:t>
      </w:r>
      <w:r>
        <w:t>. Wiz. https://www.wiz.io/blog/php2shell-php-rce</w:t>
      </w:r>
    </w:p>
    <w:p>
      <w:pPr>
        <w:ind w:left="720" w:hanging="720"/>
      </w:pPr>
      <w:r>
        <w:t xml:space="preserve">U.S. Department of Health and Human Services. (2024, August 21). </w:t>
      </w:r>
      <w:r>
        <w:rPr>
          <w:i/>
        </w:rPr>
        <w:t>Covered entities and business associates</w:t>
      </w:r>
      <w:r>
        <w:t>. https://www.hhs.gov/hipaa/for-professionals/covered-entities/index.html</w:t>
      </w:r>
    </w:p>
    <w:p>
      <w:r>
        <w:t>Video provided by the professor: https://www.youtube.com/watch?v=H7JWNiQpaT8 . It is optional viewing; this workbook does not summarize or verify its contents.</w:t>
      </w:r>
    </w:p>
    <w:p>
      <w:pPr>
        <w:pStyle w:val="Heading1"/>
      </w:pPr>
      <w:r>
        <w:t>Exit reflection</w:t>
      </w:r>
    </w:p>
    <w:p>
      <w:r>
        <w:t>1. Which part of your work assesses risk, and which part asks management to decide treatment?</w:t>
        <w:br/>
        <w:t>2. What evidence would justify changing a residual-risk rating?</w:t>
        <w:br/>
        <w:t>3. Which fact remains unknown, and who should resolve it?</w:t>
      </w:r>
    </w:p>
    <w:p>
      <w:r>
        <w:t>Use the syllabus AI disclosure if you later submit related graded work. This classroom packet does not replace the assigned project or research-paper requirements.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2"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George Antoniou</dc:creator>
  <cp:keywords/>
  <dc:description>generated by python-docx</dc:description>
  <cp:lastModifiedBy/>
  <cp:revision>1</cp:revision>
  <dcterms:created xsi:type="dcterms:W3CDTF">2013-12-23T23:15:00Z</dcterms:created>
  <dcterms:modified xsi:type="dcterms:W3CDTF">2013-12-23T23:15:00Z</dcterms:modified>
  <cp:category/>
</cp:coreProperties>
</file>