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Noto Sans CJK SC"/>
          <w:b w:val="0"/>
          <w:color w:val="000000"/>
          <w:sz w:val="46"/>
        </w:rPr>
        <w:t>AIGC 合成人脸数据用于人脸识别数据扩充</w:t>
      </w:r>
    </w:p>
    <w:p>
      <w:r>
        <w:rPr>
          <w:rFonts w:ascii="Arial" w:hAnsi="Arial" w:eastAsia="Noto Sans CJK SC"/>
          <w:b/>
          <w:color w:val="000000"/>
          <w:sz w:val="26"/>
        </w:rPr>
        <w:t>实验报告</w:t>
      </w:r>
    </w:p>
    <w:p>
      <w:r>
        <w:rPr>
          <w:rFonts w:ascii="Arial" w:hAnsi="Arial" w:eastAsia="Noto Sans CJK SC"/>
          <w:b w:val="0"/>
          <w:color w:val="000000"/>
          <w:sz w:val="18"/>
        </w:rPr>
        <w:t xml:space="preserve">结果表由 </w:t>
      </w:r>
      <w:r>
        <w:rPr>
          <w:rFonts w:ascii="DejaVu Sans Mono" w:hAnsi="DejaVu Sans Mono" w:eastAsia="Noto Sans CJK SC"/>
          <w:b w:val="0"/>
          <w:color w:val="000000"/>
          <w:sz w:val="18"/>
        </w:rPr>
        <w:t>tools/build_report.py</w:t>
      </w:r>
      <w:r>
        <w:rPr>
          <w:rFonts w:ascii="Arial" w:hAnsi="Arial" w:eastAsia="Noto Sans CJK SC"/>
          <w:b w:val="0"/>
          <w:color w:val="000000"/>
          <w:sz w:val="18"/>
        </w:rPr>
        <w:t xml:space="preserve"> 从核对过的 </w:t>
      </w:r>
      <w:r>
        <w:rPr>
          <w:rFonts w:ascii="DejaVu Sans Mono" w:hAnsi="DejaVu Sans Mono" w:eastAsia="Noto Sans CJK SC"/>
          <w:b w:val="0"/>
          <w:color w:val="000000"/>
          <w:sz w:val="18"/>
        </w:rPr>
        <w:t>site/data/site_data.json</w:t>
      </w:r>
      <w:r>
        <w:rPr>
          <w:rFonts w:ascii="Arial" w:hAnsi="Arial" w:eastAsia="Noto Sans CJK SC"/>
          <w:b w:val="0"/>
          <w:color w:val="000000"/>
          <w:sz w:val="18"/>
        </w:rPr>
        <w:t xml:space="preserve"> 自动生成。 导出数据追溯到冻结的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</w:t>
      </w:r>
      <w:r>
        <w:rPr>
          <w:rFonts w:ascii="Arial" w:hAnsi="Arial" w:eastAsia="Noto Sans CJK SC"/>
          <w:b w:val="0"/>
          <w:color w:val="000000"/>
          <w:sz w:val="18"/>
        </w:rPr>
        <w:t xml:space="preserve"> 和独立的 CPU 复现目录；原实验 JSON 保持原样。 均值、标准差、t、df 沿用冻结字段；双侧 p 与 Welch 95% 区间由各自 df 推导，属于舍入记录下的近似值。</w:t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摘要</w:t>
      </w:r>
    </w:p>
    <w:p>
      <w:r>
        <w:rPr>
          <w:rFonts w:ascii="Arial" w:hAnsi="Arial" w:eastAsia="Noto Sans CJK SC"/>
          <w:b w:val="0"/>
          <w:color w:val="000000"/>
          <w:sz w:val="22"/>
        </w:rPr>
        <w:t>本项目检验：为已有身份合成更多照片，能否改善小规模人脸识别模型？ E1 使用 96 个身份、3,590 张真实训练图；E4a 加入 755 张筛选后的合成图，占合并训练集 17.4%。 两方案各运行 3 个训练种子，并分别报告 official、filtered 与自定义 held-out 协议。 三个协议下 Accuracy@best 的跨种子均值均上升，其中 official 和 filtered 达到名义双侧 0.05 水平； held-out accuracy 的 p≈0.053610，未达到该标准。 各协议 TAR@FAR=0.001 的均值差为正，但均未达双侧显著，当前不能确认低误接受率下的稳定增益。 独立 CPU E0 复现与冻结基线的汇总指标在记录的六位小数下一致，且保存的测试日志记录 156 项通过。</w:t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1. 研究问题与相关工作</w:t>
      </w:r>
    </w:p>
    <w:p>
      <w:r>
        <w:rPr>
          <w:rFonts w:ascii="Arial" w:hAnsi="Arial" w:eastAsia="Noto Sans CJK SC"/>
          <w:b w:val="0"/>
          <w:color w:val="000000"/>
          <w:sz w:val="22"/>
        </w:rPr>
        <w:t>研究对象是已有身份的数据扩充，而非证明合成照片可以替代全部真实数据。 Q1 比较 E1 与 E4a；Q2 比较身份保持生成配方，随后观察其下游效果。 LFW 是面向非受控环境人脸验证的数据集 [1]；其评测协议强调训练数据和报告方式的可比性 [2]。 识别损失采用 ArcFace [3]；生成路线结合潜扩散模型 [4]、DDIM 采样 [5] 和 IP-Adapter [6]。 FaceID-plusv2 的具体接口与研究用途限制以作者模型卡为依据 [11]，不把普通 IP-Adapter 论文当作全部 FaceID 实现细节的出处。</w:t>
      </w:r>
    </w:p>
    <w:p>
      <w:r>
        <w:rPr>
          <w:rFonts w:ascii="Arial" w:hAnsi="Arial" w:eastAsia="Noto Sans CJK SC"/>
          <w:b w:val="0"/>
          <w:color w:val="000000"/>
          <w:sz w:val="22"/>
        </w:rPr>
        <w:t>SynFace 研究合成与真实数据间的域差距和类内变化 [7]；DigiFace-1M 使用数字人脸渲染并考察增强 [8]； DCFace 通过身份与风格双条件控制变化 [9]。这些工作支持同时关注身份一致性和多样性， 但其数据规模、训练设置与协议不同，本报告不把外部成绩与当前 Accuracy@best 直接排名。</w:t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2. 方法与评测口径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2.1 数据与流水线</w:t>
      </w:r>
    </w:p>
    <w:p>
      <w:r>
        <w:rPr>
          <w:rFonts w:ascii="Arial" w:hAnsi="Arial" w:eastAsia="Noto Sans CJK SC"/>
          <w:b w:val="0"/>
          <w:color w:val="000000"/>
          <w:sz w:val="22"/>
        </w:rPr>
        <w:t>真实图经检测、对齐后形成 E1 训练集；同身份参考图用于身份保持生成，筛选后与真实图合并形成 E4a； 两方案使用同一识别骨干，随后按多个协议评测。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6"/>
        <w:gridCol w:w="7246"/>
      </w:tblGrid>
      <w:tr>
        <w:trPr>
          <w:cantSplit/>
          <w:tblHeader w:val="true"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数据项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记录及来源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LFW 全量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5,749 个身份、13,233 张图；原始数据集文献 [1]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E1 训练集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96 个身份、3,590 张真实图；E1 metrics 的 train_set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E4a 训练集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3,590 张真实图 + 755 张合成图，共 4,345 张；E4a train_set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合成比例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755/4345 = 17.4%；分母是合并训练集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选择与过滤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评测记录中的训练身份过滤规则为 min_images=15；实际身份名单应以训练 manifest 为准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  <w:sz w:val="22"/>
        </w:rPr>
        <w:t>原图按人物目录保存；</w:t>
      </w:r>
      <w:r>
        <w:rPr>
          <w:rFonts w:ascii="DejaVu Sans Mono" w:hAnsi="DejaVu Sans Mono" w:eastAsia="Noto Sans CJK SC"/>
          <w:b w:val="0"/>
          <w:color w:val="000000"/>
          <w:sz w:val="19"/>
        </w:rPr>
        <w:t>data/raw/lfw/lfw</w:t>
      </w:r>
      <w:r>
        <w:rPr>
          <w:rFonts w:ascii="Arial" w:hAnsi="Arial" w:eastAsia="Noto Sans CJK SC"/>
          <w:b w:val="0"/>
          <w:color w:val="000000"/>
          <w:sz w:val="22"/>
        </w:rPr>
        <w:t xml:space="preserve"> 为本机解压后的照片目录，归档和配对清单位于上一级。 类别失衡是当前小样本设置的局限。初稿中的最大类、最小类与比例缺少同一训练集口径的原始统计佐证， 本次不继续使用这些精确数值；不能把 E4a 合并集的比例当作 E1 真实训练集比例。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2.2 生成配方与筛选</w:t>
      </w:r>
    </w:p>
    <w:p>
      <w:r>
        <w:rPr>
          <w:rFonts w:ascii="Arial" w:hAnsi="Arial" w:eastAsia="Noto Sans CJK SC"/>
          <w:b w:val="0"/>
          <w:color w:val="000000"/>
          <w:sz w:val="22"/>
        </w:rPr>
        <w:t xml:space="preserve">最终采用配方来自 </w:t>
      </w:r>
      <w:r>
        <w:rPr>
          <w:rFonts w:ascii="DejaVu Sans Mono" w:hAnsi="DejaVu Sans Mono" w:eastAsia="Noto Sans CJK SC"/>
          <w:b w:val="0"/>
          <w:color w:val="000000"/>
          <w:sz w:val="19"/>
        </w:rPr>
        <w:t>w3-generator-comparison/comparison.json</w:t>
      </w:r>
      <w:r>
        <w:rPr>
          <w:rFonts w:ascii="Arial" w:hAnsi="Arial" w:eastAsia="Noto Sans CJK SC"/>
          <w:b w:val="0"/>
          <w:color w:val="000000"/>
          <w:sz w:val="22"/>
        </w:rPr>
        <w:t xml:space="preserve"> 的 final_recipe：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6"/>
        <w:gridCol w:w="7246"/>
      </w:tblGrid>
      <w:tr>
        <w:trPr>
          <w:cantSplit/>
          <w:tblHeader w:val="true"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设置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冻结记录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ID 适配器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IP-Adapter-FaceID-plusv2 (ip-adapter-faceid-plusv2_sd15.bin)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底模 / VAE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sd15 (original) / sd-vae-ft-mse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ID 模型 / 参考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buffalo_l (normed_embedding) / mean (multi-reference)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shortcut / s_scale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True / 1.0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CLIP 层 / 输入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-2 / face_align.norm_crop(image, kps, image_size=224)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CLIP 负例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encoder output for a zero image (official), not a zero tensor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调度器 / 步数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DDIM (official params) / 30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guidance / IP scale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7.5 / 1.0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  <w:sz w:val="22"/>
        </w:rPr>
        <w:t xml:space="preserve">结构参考轮换、质量地板与冗余剪枝等实现记录见 </w:t>
      </w:r>
      <w:hyperlink r:id="rId10">
        <w:r>
          <w:rPr>
            <w:color w:val="27526B"/>
            <w:u w:val="single"/>
            <w:sz w:val="22"/>
            <w:rFonts w:ascii="Arial" w:hAnsi="Arial" w:eastAsia="Noto Sans CJK SC"/>
          </w:rPr>
          <w:t>W3-GENERATION.md</w:t>
        </w:r>
      </w:hyperlink>
      <w:r>
        <w:rPr>
          <w:rFonts w:ascii="Arial" w:hAnsi="Arial" w:eastAsia="Noto Sans CJK SC"/>
          <w:b w:val="0"/>
          <w:color w:val="000000"/>
          <w:sz w:val="22"/>
        </w:rPr>
        <w:t>。 本报告可由训练元数据核实加入的合成图数量；初稿给出的整批生成耗时、剪枝相似度以及筛选后图集的精确 id_sim 均值， 不在当前导出的冻结统计字段中，故不再作为本报告的量化证据。配方对照与筛选后训练图集是不同总体。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2.3 训练与实验重复</w:t>
      </w:r>
    </w:p>
    <w:p>
      <w:r>
        <w:rPr>
          <w:rFonts w:ascii="Arial" w:hAnsi="Arial" w:eastAsia="Noto Sans CJK SC"/>
          <w:b w:val="0"/>
          <w:color w:val="000000"/>
          <w:sz w:val="22"/>
        </w:rPr>
        <w:t>识别模型为 iresnet18，参数量 62,556,544，损失记录为 arcface (self-trained)。 E1 与 E4a 各有 3 个种子；优化细节由对应实验配置和训练日志确定， 各运行 metrics 中的 epochs 记录不是自动等价于配置的总训练轮数。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46"/>
        <w:gridCol w:w="7246"/>
      </w:tblGrid>
      <w:tr>
        <w:trPr>
          <w:cantSplit/>
          <w:tblHeader w:val="true"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E1 seed0 记录项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值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optimizer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sgd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lr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0.1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momentum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0.9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weight_decay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0.0005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scheduler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cosine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batch_size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64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grad_accum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5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amp</w:t>
            </w:r>
          </w:p>
        </w:tc>
        <w:tc>
          <w:tcPr>
            <w:tcW w:type="dxa" w:w="724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True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  <w:sz w:val="22"/>
        </w:rPr>
        <w:t>E4b 高质量子集记录 448 张合成图，合并后占 11.1%；当前只有 seed0，official accuracy=0.887515、TAR=0.459686。该单次结果不足以断言它优于或劣于 E4a。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2.4 三种协议与实际使用规模</w:t>
      </w:r>
    </w:p>
    <w:p>
      <w:r>
        <w:rPr>
          <w:rFonts w:ascii="Arial" w:hAnsi="Arial" w:eastAsia="Noto Sans CJK SC"/>
          <w:b w:val="0"/>
          <w:color w:val="000000"/>
          <w:sz w:val="22"/>
        </w:rPr>
        <w:t>下表取 E1 seed0 作为规模示例。计划配对数与检测后实际有效配对数分别报告：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4"/>
        <w:gridCol w:w="1665"/>
        <w:gridCol w:w="1958"/>
        <w:gridCol w:w="1763"/>
        <w:gridCol w:w="1763"/>
      </w:tblGrid>
      <w:tr>
        <w:trPr>
          <w:cantSplit/>
          <w:tblHeader w:val="true"/>
        </w:trPr>
        <w:tc>
          <w:tcPr>
            <w:tcW w:type="dxa" w:w="2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1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清单配对数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accuracy 有效对</w:t>
            </w:r>
          </w:p>
        </w:tc>
        <w:tc>
          <w:tcPr>
            <w:tcW w:type="dxa" w:w="17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TAR 有效对</w:t>
            </w:r>
          </w:p>
        </w:tc>
        <w:tc>
          <w:tcPr>
            <w:tcW w:type="dxa" w:w="17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accuracy 缺失对</w:t>
            </w:r>
          </w:p>
        </w:tc>
      </w:tr>
      <w:tr>
        <w:trPr>
          <w:cantSplit/>
        </w:trPr>
        <w:tc>
          <w:tcPr>
            <w:tcW w:type="dxa" w:w="2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official 官方配对</w:t>
            </w:r>
          </w:p>
        </w:tc>
        <w:tc>
          <w:tcPr>
            <w:tcW w:type="dxa" w:w="1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6,000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5,983</w:t>
            </w:r>
          </w:p>
        </w:tc>
        <w:tc>
          <w:tcPr>
            <w:tcW w:type="dxa" w:w="17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5,983</w:t>
            </w:r>
          </w:p>
        </w:tc>
        <w:tc>
          <w:tcPr>
            <w:tcW w:type="dxa" w:w="17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17</w:t>
            </w:r>
          </w:p>
        </w:tc>
      </w:tr>
      <w:tr>
        <w:trPr>
          <w:cantSplit/>
        </w:trPr>
        <w:tc>
          <w:tcPr>
            <w:tcW w:type="dxa" w:w="2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filtered 过滤子集</w:t>
            </w:r>
          </w:p>
        </w:tc>
        <w:tc>
          <w:tcPr>
            <w:tcW w:type="dxa" w:w="1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5,553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5,539</w:t>
            </w:r>
          </w:p>
        </w:tc>
        <w:tc>
          <w:tcPr>
            <w:tcW w:type="dxa" w:w="17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5,539</w:t>
            </w:r>
          </w:p>
        </w:tc>
        <w:tc>
          <w:tcPr>
            <w:tcW w:type="dxa" w:w="17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2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held-out 自定义协议</w:t>
            </w:r>
          </w:p>
        </w:tc>
        <w:tc>
          <w:tcPr>
            <w:tcW w:type="dxa" w:w="1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125,191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22,667</w:t>
            </w:r>
          </w:p>
        </w:tc>
        <w:tc>
          <w:tcPr>
            <w:tcW w:type="dxa" w:w="17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124,635</w:t>
            </w:r>
          </w:p>
        </w:tc>
        <w:tc>
          <w:tcPr>
            <w:tcW w:type="dxa" w:w="176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96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  <w:sz w:val="22"/>
        </w:rPr>
        <w:t>Official 使用官方配对清单，记录中包含项目训练身份；虽然清单带有 10 折标记， 此处汇总 Accuracy@best 在测试分数上选择最佳阈值，不能视为文献中的独立留出折验证成绩 [2]。 Filtered 删除涉及训练身份的官方对子，但仍来自同一数据源。 Held-out 是自定义、与本项目训练身份不相交的补充协议，不是官方 LFW 成绩； 它用平衡子集报告 accuracy，用全量有效配对报告 TAR，不能取平衡子集 TAR 替代全量 TAR。</w:t>
      </w:r>
    </w:p>
    <w:p>
      <w:r>
        <w:rPr>
          <w:rFonts w:ascii="Arial" w:hAnsi="Arial" w:eastAsia="Noto Sans CJK SC"/>
          <w:b w:val="0"/>
          <w:color w:val="000000"/>
          <w:sz w:val="22"/>
        </w:rPr>
        <w:t>TAR 阈值由当前评测负对分布确定，报告实际 FAR。阈值校准与测试未完全独立， 因此这些指标用于当前实验比较，不能直接代表部署性能。 身份交集为零指本项目训练 manifest 与评测身份，不意味着已排除外部预训练模型的数据重叠。</w:t>
      </w:r>
    </w:p>
    <w:p>
      <w:pPr>
        <w:pStyle w:val="Heading1"/>
        <w:pageBreakBefore/>
      </w:pPr>
      <w:r>
        <w:rPr>
          <w:rFonts w:ascii="Arial" w:hAnsi="Arial" w:eastAsia="Noto Sans CJK SC"/>
          <w:b/>
          <w:color w:val="000000"/>
          <w:sz w:val="32"/>
        </w:rPr>
        <w:t>3. 实验结果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3.1 小样本生成配方对照</w:t>
      </w:r>
    </w:p>
    <w:p>
      <w:r>
        <w:rPr>
          <w:rFonts w:ascii="Arial" w:hAnsi="Arial" w:eastAsia="Noto Sans CJK SC"/>
          <w:b w:val="0"/>
          <w:color w:val="000000"/>
          <w:sz w:val="22"/>
        </w:rPr>
        <w:t>协议：4 个身份 × 3 个 seed，三组使用相同身份与相同种子（配对比较）。ID 相似度评分器：filter_synth.py (buffalo_l, det 320)。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21"/>
        <w:gridCol w:w="2154"/>
        <w:gridCol w:w="1958"/>
        <w:gridCol w:w="1958"/>
      </w:tblGrid>
      <w:tr>
        <w:trPr>
          <w:cantSplit/>
          <w:tblHeader w:val="true"/>
        </w:trPr>
        <w:tc>
          <w:tcPr>
            <w:tcW w:type="dxa" w:w="3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可评分/生成数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id_sim 均值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最小值</w:t>
            </w:r>
          </w:p>
        </w:tc>
      </w:tr>
      <w:tr>
        <w:trPr>
          <w:cantSplit/>
        </w:trPr>
        <w:tc>
          <w:tcPr>
            <w:tcW w:type="dxa" w:w="3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IP-Adapter-FaceID (base, ID 一路)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11/12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0.3891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0.2035</w:t>
            </w:r>
          </w:p>
        </w:tc>
      </w:tr>
      <w:tr>
        <w:trPr>
          <w:cantSplit/>
        </w:trPr>
        <w:tc>
          <w:tcPr>
            <w:tcW w:type="dxa" w:w="3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IP-Adapter-FaceID-plusv2 (ID + CLIP 两路, shortcut=True)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12/12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0.5138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0.4320</w:t>
            </w:r>
          </w:p>
        </w:tc>
      </w:tr>
      <w:tr>
        <w:trPr>
          <w:cantSplit/>
        </w:trPr>
        <w:tc>
          <w:tcPr>
            <w:tcW w:type="dxa" w:w="3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plusv2 + 多参考平均嵌入（最终采用）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12 张可评分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0.6084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0.5273</w:t>
            </w:r>
          </w:p>
        </w:tc>
      </w:tr>
      <w:tr>
        <w:trPr>
          <w:cantSplit/>
        </w:trPr>
        <w:tc>
          <w:tcPr>
            <w:tcW w:type="dxa" w:w="3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plusv2 + Realistic Vision V6 底模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12/12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0.3999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0.2836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  <w:sz w:val="22"/>
        </w:rPr>
        <w:t>多参考方案在这次小样本对照中取得更高均值和最低值，支持把它作为后续生成配方。 base 的一个生成样本未被评分，比较还可能受检测筛选影响。 该均值 0.6084 对应 12 张配方对照样本， 不能当作 755 张筛选后训练图的均值。Realistic Vision 组合在本次设置中得分更低， 这不足以证明所有参数与底模版本都不兼容。项目参照点也不是普适身份判定阈值。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120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or_qu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20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Noto Sans CJK SC"/>
          <w:b w:val="0"/>
          <w:color w:val="000000"/>
          <w:sz w:val="19"/>
        </w:rPr>
        <w:t>图 1  生成配方对照</w:t>
      </w:r>
    </w:p>
    <w:p>
      <w:pPr>
        <w:sectPr>
          <w:footerReference w:type="default" r:id="rId9"/>
          <w:pgSz w:w="12240" w:h="15840"/>
          <w:pgMar w:top="1037" w:right="1224" w:bottom="1037" w:left="1224" w:header="720" w:footer="461" w:gutter="0"/>
          <w:cols w:space="720"/>
          <w:docGrid w:linePitch="360"/>
        </w:sectPr>
      </w:pP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3.2 E1 与 E4a 均值、种子波动与检验</w:t>
      </w:r>
    </w:p>
    <w:p>
      <w:r>
        <w:rPr>
          <w:rFonts w:ascii="Arial" w:hAnsi="Arial" w:eastAsia="Noto Sans CJK SC"/>
          <w:b w:val="0"/>
          <w:color w:val="000000"/>
          <w:sz w:val="22"/>
        </w:rPr>
        <w:t>每格为 3 个种子的均值 ± 样本标准差（ddof=1）。以下检验沿用冻结汇总的双侧 Welch 方法 [12]：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52"/>
        <w:gridCol w:w="1852"/>
        <w:gridCol w:w="2013"/>
        <w:gridCol w:w="2013"/>
        <w:gridCol w:w="1159"/>
        <w:gridCol w:w="998"/>
        <w:gridCol w:w="886"/>
        <w:gridCol w:w="1256"/>
        <w:gridCol w:w="1739"/>
      </w:tblGrid>
      <w:tr>
        <w:trPr>
          <w:cantSplit/>
          <w:tblHeader w:val="true"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协议</w:t>
            </w:r>
          </w:p>
        </w:tc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E1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E4a</w:t>
            </w:r>
          </w:p>
        </w:tc>
        <w:tc>
          <w:tcPr>
            <w:tcW w:type="dxa" w:w="1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Δ E4a−E1</w:t>
            </w:r>
          </w:p>
        </w:tc>
        <w:tc>
          <w:tcPr>
            <w:tcW w:type="dxa" w:w="9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t</w:t>
            </w:r>
          </w:p>
        </w:tc>
        <w:tc>
          <w:tcPr>
            <w:tcW w:type="dxa" w:w="8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df</w:t>
            </w:r>
          </w:p>
        </w:tc>
        <w:tc>
          <w:tcPr>
            <w:tcW w:type="dxa" w:w="12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近似 p</w:t>
            </w:r>
          </w:p>
        </w:tc>
        <w:tc>
          <w:tcPr>
            <w:tcW w:type="dxa" w:w="17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official 官方配对</w:t>
            </w:r>
          </w:p>
        </w:tc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Accuracy@best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0.8812 ± 0.0032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0.8899 ± 0.0026</w:t>
            </w:r>
          </w:p>
        </w:tc>
        <w:tc>
          <w:tcPr>
            <w:tcW w:type="dxa" w:w="1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+0.0086</w:t>
            </w:r>
          </w:p>
        </w:tc>
        <w:tc>
          <w:tcPr>
            <w:tcW w:type="dxa" w:w="9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3.5927</w:t>
            </w:r>
          </w:p>
        </w:tc>
        <w:tc>
          <w:tcPr>
            <w:tcW w:type="dxa" w:w="8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3.826</w:t>
            </w:r>
          </w:p>
        </w:tc>
        <w:tc>
          <w:tcPr>
            <w:tcW w:type="dxa" w:w="12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0.024692</w:t>
            </w:r>
          </w:p>
        </w:tc>
        <w:tc>
          <w:tcPr>
            <w:tcW w:type="dxa" w:w="17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达到名义双侧 0.05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official 官方配对</w:t>
            </w:r>
          </w:p>
        </w:tc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TAR@FAR=0.001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0.4208 ± 0.0040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0.4548 ± 0.0321</w:t>
            </w:r>
          </w:p>
        </w:tc>
        <w:tc>
          <w:tcPr>
            <w:tcW w:type="dxa" w:w="1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+0.0340</w:t>
            </w:r>
          </w:p>
        </w:tc>
        <w:tc>
          <w:tcPr>
            <w:tcW w:type="dxa" w:w="9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1.8193</w:t>
            </w:r>
          </w:p>
        </w:tc>
        <w:tc>
          <w:tcPr>
            <w:tcW w:type="dxa" w:w="8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2.063</w:t>
            </w:r>
          </w:p>
        </w:tc>
        <w:tc>
          <w:tcPr>
            <w:tcW w:type="dxa" w:w="12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0.206609</w:t>
            </w:r>
          </w:p>
        </w:tc>
        <w:tc>
          <w:tcPr>
            <w:tcW w:type="dxa" w:w="17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未达双侧 0.05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filtered 过滤子集</w:t>
            </w:r>
          </w:p>
        </w:tc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Accuracy@best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0.8727 ± 0.0039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0.8819 ± 0.0028</w:t>
            </w:r>
          </w:p>
        </w:tc>
        <w:tc>
          <w:tcPr>
            <w:tcW w:type="dxa" w:w="1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+0.0093</w:t>
            </w:r>
          </w:p>
        </w:tc>
        <w:tc>
          <w:tcPr>
            <w:tcW w:type="dxa" w:w="9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3.3503</w:t>
            </w:r>
          </w:p>
        </w:tc>
        <w:tc>
          <w:tcPr>
            <w:tcW w:type="dxa" w:w="8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3.655</w:t>
            </w:r>
          </w:p>
        </w:tc>
        <w:tc>
          <w:tcPr>
            <w:tcW w:type="dxa" w:w="12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0.032753</w:t>
            </w:r>
          </w:p>
        </w:tc>
        <w:tc>
          <w:tcPr>
            <w:tcW w:type="dxa" w:w="17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达到名义双侧 0.05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filtered 过滤子集</w:t>
            </w:r>
          </w:p>
        </w:tc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TAR@FAR=0.001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0.3402 ± 0.0046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0.3789 ± 0.0366</w:t>
            </w:r>
          </w:p>
        </w:tc>
        <w:tc>
          <w:tcPr>
            <w:tcW w:type="dxa" w:w="1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+0.0387</w:t>
            </w:r>
          </w:p>
        </w:tc>
        <w:tc>
          <w:tcPr>
            <w:tcW w:type="dxa" w:w="9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1.8193</w:t>
            </w:r>
          </w:p>
        </w:tc>
        <w:tc>
          <w:tcPr>
            <w:tcW w:type="dxa" w:w="8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2.063</w:t>
            </w:r>
          </w:p>
        </w:tc>
        <w:tc>
          <w:tcPr>
            <w:tcW w:type="dxa" w:w="12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0.206609</w:t>
            </w:r>
          </w:p>
        </w:tc>
        <w:tc>
          <w:tcPr>
            <w:tcW w:type="dxa" w:w="17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未达双侧 0.05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held-out 自定义协议</w:t>
            </w:r>
          </w:p>
        </w:tc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Accuracy@best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0.8693 ± 0.0035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0.8775 ± 0.0005</w:t>
            </w:r>
          </w:p>
        </w:tc>
        <w:tc>
          <w:tcPr>
            <w:tcW w:type="dxa" w:w="1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+0.0082</w:t>
            </w:r>
          </w:p>
        </w:tc>
        <w:tc>
          <w:tcPr>
            <w:tcW w:type="dxa" w:w="9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3.9819</w:t>
            </w:r>
          </w:p>
        </w:tc>
        <w:tc>
          <w:tcPr>
            <w:tcW w:type="dxa" w:w="8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2.090</w:t>
            </w:r>
          </w:p>
        </w:tc>
        <w:tc>
          <w:tcPr>
            <w:tcW w:type="dxa" w:w="12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0.053610</w:t>
            </w:r>
          </w:p>
        </w:tc>
        <w:tc>
          <w:tcPr>
            <w:tcW w:type="dxa" w:w="17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未达双侧 0.05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held-out 自定义协议</w:t>
            </w:r>
          </w:p>
        </w:tc>
        <w:tc>
          <w:tcPr>
            <w:tcW w:type="dxa" w:w="18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TAR@FAR=0.001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0.3108 ± 0.0184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0.3289 ± 0.0095</w:t>
            </w:r>
          </w:p>
        </w:tc>
        <w:tc>
          <w:tcPr>
            <w:tcW w:type="dxa" w:w="1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+0.0181</w:t>
            </w:r>
          </w:p>
        </w:tc>
        <w:tc>
          <w:tcPr>
            <w:tcW w:type="dxa" w:w="9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1.5175</w:t>
            </w:r>
          </w:p>
        </w:tc>
        <w:tc>
          <w:tcPr>
            <w:tcW w:type="dxa" w:w="8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2.989</w:t>
            </w:r>
          </w:p>
        </w:tc>
        <w:tc>
          <w:tcPr>
            <w:tcW w:type="dxa" w:w="12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0.226750</w:t>
            </w:r>
          </w:p>
        </w:tc>
        <w:tc>
          <w:tcPr>
            <w:tcW w:type="dxa" w:w="17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19"/>
              </w:rPr>
              <w:t>未达双侧 0.05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  <w:sz w:val="22"/>
        </w:rPr>
        <w:t>这是未作多重比较校正的名义检验；不同协议共享图片和身份，结果并不独立。 小样本对分布假设敏感；原始 Welch 检验也没有把相同数字种子自动视为有效配对设计。 因此“名义显著”需要连同数据重叠、阈值选择及重复数一起解释。</w:t>
      </w:r>
    </w:p>
    <w:p>
      <w:pPr>
        <w:sectPr>
          <w:pgSz w:w="15840" w:h="12240" w:orient="landscape"/>
          <w:pgMar w:top="1037" w:right="1037" w:bottom="1037" w:left="1037" w:header="720" w:footer="461" w:gutter="0"/>
          <w:cols w:space="720"/>
          <w:docGrid w:linePitch="360"/>
        </w:sectPr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60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mean_s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6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Noto Sans CJK SC"/>
          <w:b w:val="0"/>
          <w:color w:val="000000"/>
          <w:sz w:val="19"/>
        </w:rPr>
        <w:t>图 2  Accuracy 均值与标准差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460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_mean_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6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Noto Sans CJK SC"/>
          <w:b w:val="0"/>
          <w:color w:val="000000"/>
          <w:sz w:val="19"/>
        </w:rPr>
        <w:t>图 3  TAR 均值与标准差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3.3 均值差的 95% 区间</w:t>
      </w:r>
    </w:p>
    <w:p>
      <w:r>
        <w:rPr>
          <w:rFonts w:ascii="Arial" w:hAnsi="Arial" w:eastAsia="Noto Sans CJK SC"/>
          <w:b w:val="0"/>
          <w:color w:val="000000"/>
          <w:sz w:val="22"/>
        </w:rPr>
        <w:t>区间 = 冻结 Δ ± t(0.975, 各检验 df) × 冻结 SE；与上方种子标准差不同。 冻结 t、df、SE 已舍入，下面 p 与区间都是近似推导值，不覆盖原实验文件。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60"/>
        <w:gridCol w:w="3427"/>
        <w:gridCol w:w="2252"/>
        <w:gridCol w:w="2252"/>
      </w:tblGrid>
      <w:tr>
        <w:trPr>
          <w:cantSplit/>
          <w:tblHeader w:val="true"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均值差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Welch 95% 区间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official 官方配对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Accuracy@best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+0.008635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[+0.001839, +0.015431]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official 官方配对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TAR@FAR=0.001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+0.034014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[-0.044120, +0.112148]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filtered 过滤子集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Accuracy@best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+0.009268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[+0.001294, +0.017242]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filtered 过滤子集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TAR@FAR=0.001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+0.038745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[-0.050259, +0.127749]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held-out 自定义协议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Accuracy@best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+0.008235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[-0.000306, +0.016776]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held-out 自定义协议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TAR@FAR=0.001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+0.018098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[-0.019935, +0.056131]</w:t>
            </w:r>
          </w:p>
        </w:tc>
      </w:tr>
    </w:tbl>
    <w:p>
      <w:pPr>
        <w:spacing w:after="2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34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delta_ci9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4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Noto Sans CJK SC"/>
          <w:b w:val="0"/>
          <w:color w:val="000000"/>
          <w:sz w:val="19"/>
        </w:rPr>
        <w:t>图 4  Accuracy 均值差与 95% 区间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2340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_delta_ci9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34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Noto Sans CJK SC"/>
          <w:b w:val="0"/>
          <w:color w:val="000000"/>
          <w:sz w:val="19"/>
        </w:rPr>
        <w:t>图 5  TAR 均值差与 95% 区间</w:t>
      </w:r>
    </w:p>
    <w:p>
      <w:r>
        <w:rPr>
          <w:rFonts w:ascii="Arial" w:hAnsi="Arial" w:eastAsia="Noto Sans CJK SC"/>
          <w:b w:val="0"/>
          <w:color w:val="000000"/>
          <w:sz w:val="22"/>
        </w:rPr>
        <w:t>Held-out accuracy 的区间跨零；不能因为 t 较大，就沿用固定临界值宣布显著。 Welch 的临界值由每个检验的 df 决定，不存在统一的“每组 n=3 临界值”。 三个协议下 TAR 区间均跨零；均值向好与确认稳定改善是不同强度的结论。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3.4 Held-out TAR 的逐种子差异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21"/>
        <w:gridCol w:w="2154"/>
        <w:gridCol w:w="1958"/>
        <w:gridCol w:w="1958"/>
      </w:tblGrid>
      <w:tr>
        <w:trPr>
          <w:cantSplit/>
          <w:tblHeader w:val="true"/>
        </w:trPr>
        <w:tc>
          <w:tcPr>
            <w:tcW w:type="dxa" w:w="3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种子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E1 TAR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E4a TAR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差值</w:t>
            </w:r>
          </w:p>
        </w:tc>
      </w:tr>
      <w:tr>
        <w:trPr>
          <w:cantSplit/>
        </w:trPr>
        <w:tc>
          <w:tcPr>
            <w:tcW w:type="dxa" w:w="3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0.330777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0.318879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-0.011898</w:t>
            </w:r>
          </w:p>
        </w:tc>
      </w:tr>
      <w:tr>
        <w:trPr>
          <w:cantSplit/>
        </w:trPr>
        <w:tc>
          <w:tcPr>
            <w:tcW w:type="dxa" w:w="3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0.306980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0.337652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+0.030672</w:t>
            </w:r>
          </w:p>
        </w:tc>
      </w:tr>
      <w:tr>
        <w:trPr>
          <w:cantSplit/>
        </w:trPr>
        <w:tc>
          <w:tcPr>
            <w:tcW w:type="dxa" w:w="3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0.294641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0.330160</w:t>
            </w:r>
          </w:p>
        </w:tc>
        <w:tc>
          <w:tcPr>
            <w:tcW w:type="dxa" w:w="195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+0.035519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  <w:sz w:val="22"/>
        </w:rPr>
        <w:t>配对点差的样本标准差为 0.026090，均值为 +0.018098。 存在一个负差和两个正差，说明需要检查种子敏感性；不能据此断言真实增益已得到证明。 冻结汇总另记录 seed0 的配对 bootstrap：2,000 次重采样，Δ 的 5%–95% 分位区间 [-0.027700, +0.002481]，正差重采样比例 8.6%。这是固定一次训练结果下的重采样分布，既不是跨种子 95% Welch 区间，也不是‘真实增益为正’的后验概率。seed1/seed2 的旧稿区间未在本次冻结汇总中逐项核实，因此不继续引用。</w:t>
      </w:r>
    </w:p>
    <w:p>
      <w:r>
        <w:rPr>
          <w:rFonts w:ascii="Arial" w:hAnsi="Arial" w:eastAsia="Noto Sans CJK SC"/>
          <w:b w:val="0"/>
          <w:color w:val="000000"/>
          <w:sz w:val="22"/>
        </w:rPr>
        <w:t>冻结的预训练 buffalo_l 参考：held-out Accuracy@best=0.999294，TAR=0.998942。该模型具有不同的外部预训练数据与训练预算，不能据此把差距唯一归因于当前训练身份数量。</w:t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4. 方法学讨论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4.1 协议改变会改变效应估计</w:t>
      </w:r>
    </w:p>
    <w:p>
      <w:r>
        <w:rPr>
          <w:rFonts w:ascii="Arial" w:hAnsi="Arial" w:eastAsia="Noto Sans CJK SC"/>
          <w:b w:val="0"/>
          <w:color w:val="000000"/>
          <w:sz w:val="22"/>
        </w:rPr>
        <w:t>Official TAR 均值差 +0.034014，held-out 为 +0.018098。 前者更大，且 official 已知包含训练身份；但两协议还改变了配对数量与构成， 不能把全部差异因果归于身份泄漏，也不能把两个均值差的比值当作无偏的泄漏量估计。 两个 TAR 检验都未达显著。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4.2 FAR 的经验分辨率</w:t>
      </w:r>
    </w:p>
    <w:p>
      <w:r>
        <w:rPr>
          <w:rFonts w:ascii="Arial" w:hAnsi="Arial" w:eastAsia="Noto Sans CJK SC"/>
          <w:b w:val="0"/>
          <w:color w:val="000000"/>
          <w:sz w:val="22"/>
        </w:rPr>
        <w:t>Held-out 清单计划包含 11,381 个正对与 113,810 个负对；检测后有效数另见前表。 经验 FAR 的步长为 1/N_negative；负对数较少时，低 FAR 阈值受少数尾部样本影响。 增加有效负对能改善分辨率，但不会消除训练随机性、身份相关性、阈值校准偏差或域偏移。 当前证据支持优先增加训练重复并开展独立数据验证，不支持“继续增加评测数据完全无意义”。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4.3 指标与质量代理不能互相替代</w:t>
      </w:r>
    </w:p>
    <w:p>
      <w:r>
        <w:rPr>
          <w:rFonts w:ascii="Arial" w:hAnsi="Arial" w:eastAsia="Noto Sans CJK SC"/>
          <w:b w:val="0"/>
          <w:color w:val="000000"/>
          <w:sz w:val="22"/>
        </w:rPr>
        <w:t>Accuracy@best 与低 FAR 下 TAR 反映不同工作点，前者提高不能推出后者稳定提高。 ID 相似度反映特定嵌入空间中的身份一致性，不等于照片真实度、多样性、公平性或隐私安全。 条件生成与筛选共用的模型会引入度量依赖，需独立识别骨干和外部数据补充验证。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4.4 工程经验的证据范围</w:t>
      </w:r>
    </w:p>
    <w:p>
      <w:r>
        <w:rPr>
          <w:rFonts w:ascii="Arial" w:hAnsi="Arial" w:eastAsia="Noto Sans CJK SC"/>
          <w:b w:val="0"/>
          <w:color w:val="000000"/>
          <w:sz w:val="22"/>
        </w:rPr>
        <w:t>参数顺序、并列分数、空输入、缺少类别和 FAR 分辨率等问题已经加入评测器测试。 质量与冗余的权衡，以及训练稳定性排查记录，可以指导复核； 但本报告不把缺少对应完整消融日志的历史失败次数，或一次改动前后的训练 accuracy，写成已证实的因果效应。</w:t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5. 局限与后续验证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1. </w:t>
      </w:r>
      <w:r>
        <w:rPr>
          <w:rFonts w:ascii="Arial" w:hAnsi="Arial" w:eastAsia="Noto Sans CJK SC"/>
          <w:b/>
          <w:color w:val="000000"/>
          <w:sz w:val="22"/>
        </w:rPr>
        <w:t>身份重叠与同源评测。</w:t>
      </w:r>
      <w:r>
        <w:rPr>
          <w:rFonts w:ascii="Arial" w:hAnsi="Arial" w:eastAsia="Noto Sans CJK SC"/>
          <w:b w:val="0"/>
          <w:color w:val="000000"/>
          <w:sz w:val="22"/>
        </w:rPr>
        <w:t xml:space="preserve"> Official 有项目训练身份重叠；filtered/held-out 缓解该问题，却仍来自 LFW。 身份划分可以避免项目内重叠，“泄漏不可避免”不是正确表述；外部预训练重叠尚未完整审计。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2. </w:t>
      </w:r>
      <w:r>
        <w:rPr>
          <w:rFonts w:ascii="Arial" w:hAnsi="Arial" w:eastAsia="Noto Sans CJK SC"/>
          <w:b/>
          <w:color w:val="000000"/>
          <w:sz w:val="22"/>
        </w:rPr>
        <w:t>测试集阈值选择。</w:t>
      </w:r>
      <w:r>
        <w:rPr>
          <w:rFonts w:ascii="Arial" w:hAnsi="Arial" w:eastAsia="Noto Sans CJK SC"/>
          <w:b w:val="0"/>
          <w:color w:val="000000"/>
          <w:sz w:val="22"/>
        </w:rPr>
        <w:t xml:space="preserve"> Accuracy@best 和 TAR 的阈值均使用当前评测分数，缺少完全独立的校准集。 下一步应固定独立校准阈值，再在留出集上报告指标 [2]。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3. </w:t>
      </w:r>
      <w:r>
        <w:rPr>
          <w:rFonts w:ascii="Arial" w:hAnsi="Arial" w:eastAsia="Noto Sans CJK SC"/>
          <w:b/>
          <w:color w:val="000000"/>
          <w:sz w:val="22"/>
        </w:rPr>
        <w:t>训练重复不足。</w:t>
      </w:r>
      <w:r>
        <w:rPr>
          <w:rFonts w:ascii="Arial" w:hAnsi="Arial" w:eastAsia="Noto Sans CJK SC"/>
          <w:b w:val="0"/>
          <w:color w:val="000000"/>
          <w:sz w:val="22"/>
        </w:rPr>
        <w:t xml:space="preserve"> 各主方案只有 3 个种子，TAR 尚不显著，held-out accuracy 亦未达到双侧 0.05。 不显著不等于无效，也不能声称已确认真实增益；目前没有充分功效分析证明某个固定种子数必然够用。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4. </w:t>
      </w:r>
      <w:r>
        <w:rPr>
          <w:rFonts w:ascii="Arial" w:hAnsi="Arial" w:eastAsia="Noto Sans CJK SC"/>
          <w:b/>
          <w:color w:val="000000"/>
          <w:sz w:val="22"/>
        </w:rPr>
        <w:t>统计假设与多重比较。</w:t>
      </w:r>
      <w:r>
        <w:rPr>
          <w:rFonts w:ascii="Arial" w:hAnsi="Arial" w:eastAsia="Noto Sans CJK SC"/>
          <w:b w:val="0"/>
          <w:color w:val="000000"/>
          <w:sz w:val="22"/>
        </w:rPr>
        <w:t xml:space="preserve"> 小样本 Welch 和多个共享数据的检验具有局限。 需预先确定主要终点，并在更多重复下检查适当的配对或稳健分析，而非事后选择显著方法。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5. </w:t>
      </w:r>
      <w:r>
        <w:rPr>
          <w:rFonts w:ascii="Arial" w:hAnsi="Arial" w:eastAsia="Noto Sans CJK SC"/>
          <w:b/>
          <w:color w:val="000000"/>
          <w:sz w:val="22"/>
        </w:rPr>
        <w:t>相关配对与重采样。</w:t>
      </w:r>
      <w:r>
        <w:rPr>
          <w:rFonts w:ascii="Arial" w:hAnsi="Arial" w:eastAsia="Noto Sans CJK SC"/>
          <w:b w:val="0"/>
          <w:color w:val="000000"/>
          <w:sz w:val="22"/>
        </w:rPr>
        <w:t xml:space="preserve"> 同一身份可参与多个验证对；按对 bootstrap 不等于按身份或人物簇重采样。 固定种子的重采样区间也不包含重新训练的不确定性。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6. </w:t>
      </w:r>
      <w:r>
        <w:rPr>
          <w:rFonts w:ascii="Arial" w:hAnsi="Arial" w:eastAsia="Noto Sans CJK SC"/>
          <w:b/>
          <w:color w:val="000000"/>
          <w:sz w:val="22"/>
        </w:rPr>
        <w:t>比例与筛选消融不足。</w:t>
      </w:r>
      <w:r>
        <w:rPr>
          <w:rFonts w:ascii="Arial" w:hAnsi="Arial" w:eastAsia="Noto Sans CJK SC"/>
          <w:b w:val="0"/>
          <w:color w:val="000000"/>
          <w:sz w:val="22"/>
        </w:rPr>
        <w:t xml:space="preserve"> 主方案合成占比为 17.4%；E4b 仅有一次运行，缺少完整比例扫描。 样本数量与质量门槛同时变化，不能独立证明“越多越好”或“越相似越好”。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7. </w:t>
      </w:r>
      <w:r>
        <w:rPr>
          <w:rFonts w:ascii="Arial" w:hAnsi="Arial" w:eastAsia="Noto Sans CJK SC"/>
          <w:b/>
          <w:color w:val="000000"/>
          <w:sz w:val="22"/>
        </w:rPr>
        <w:t>规模与架构有限。</w:t>
      </w:r>
      <w:r>
        <w:rPr>
          <w:rFonts w:ascii="Arial" w:hAnsi="Arial" w:eastAsia="Noto Sans CJK SC"/>
          <w:b w:val="0"/>
          <w:color w:val="000000"/>
          <w:sz w:val="22"/>
        </w:rPr>
        <w:t xml:space="preserve"> 当前仅 96 个训练身份、一个自训练识别骨干。 与大规模预训练模型的差距还有数据分布、模型训练和预算等因素，不能唯一归因于样本量。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8. </w:t>
      </w:r>
      <w:r>
        <w:rPr>
          <w:rFonts w:ascii="Arial" w:hAnsi="Arial" w:eastAsia="Noto Sans CJK SC"/>
          <w:b/>
          <w:color w:val="000000"/>
          <w:sz w:val="22"/>
        </w:rPr>
        <w:t>生成质量度量依赖。</w:t>
      </w:r>
      <w:r>
        <w:rPr>
          <w:rFonts w:ascii="Arial" w:hAnsi="Arial" w:eastAsia="Noto Sans CJK SC"/>
          <w:b w:val="0"/>
          <w:color w:val="000000"/>
          <w:sz w:val="22"/>
        </w:rPr>
        <w:t xml:space="preserve"> 配方对照样本少；生成条件和筛选所用身份模型存在关联， 应加入独立度量，并报告失败样本及不同人物的表现 [7–9]。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9. </w:t>
      </w:r>
      <w:r>
        <w:rPr>
          <w:rFonts w:ascii="Arial" w:hAnsi="Arial" w:eastAsia="Noto Sans CJK SC"/>
          <w:b/>
          <w:color w:val="000000"/>
          <w:sz w:val="22"/>
        </w:rPr>
        <w:t>公平性与跨域未评估。</w:t>
      </w:r>
      <w:r>
        <w:rPr>
          <w:rFonts w:ascii="Arial" w:hAnsi="Arial" w:eastAsia="Noto Sans CJK SC"/>
          <w:b w:val="0"/>
          <w:color w:val="000000"/>
          <w:sz w:val="22"/>
        </w:rPr>
        <w:t xml:space="preserve"> 本项目没有完整的人口统计分组、跨数据集、姿态和年龄鲁棒性测试， 整体指标不能替代对各群体的影响分析。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22"/>
        </w:rPr>
        <w:t xml:space="preserve">10. </w:t>
      </w:r>
      <w:r>
        <w:rPr>
          <w:rFonts w:ascii="Arial" w:hAnsi="Arial" w:eastAsia="Noto Sans CJK SC"/>
          <w:b/>
          <w:color w:val="000000"/>
          <w:sz w:val="22"/>
        </w:rPr>
        <w:t>隐私与使用许可。</w:t>
      </w:r>
      <w:r>
        <w:rPr>
          <w:rFonts w:ascii="Arial" w:hAnsi="Arial" w:eastAsia="Noto Sans CJK SC"/>
          <w:b w:val="0"/>
          <w:color w:val="000000"/>
          <w:sz w:val="22"/>
        </w:rPr>
        <w:t xml:space="preserve"> 生成已有真实身份的照片并不自动消除隐私风险；相关研究发现合成人脸可能泄露生成器训练身份 [10]。 FaceID 作者模型卡明确研究用途限制 [11]；本报告不把代码许可当作模型、照片或衍生数据的授权。</w:t>
      </w:r>
    </w:p>
    <w:p>
      <w:pPr>
        <w:pStyle w:val="Heading1"/>
        <w:pageBreakBefore/>
      </w:pPr>
      <w:r>
        <w:rPr>
          <w:rFonts w:ascii="Arial" w:hAnsi="Arial" w:eastAsia="Noto Sans CJK SC"/>
          <w:b/>
          <w:color w:val="000000"/>
          <w:sz w:val="32"/>
        </w:rPr>
        <w:t>6. CPU 复现与展示重建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6.1 已完成的 CPU E0 验证</w:t>
      </w:r>
    </w:p>
    <w:p>
      <w:r>
        <w:rPr>
          <w:rFonts w:ascii="Arial" w:hAnsi="Arial" w:eastAsia="Noto Sans CJK SC"/>
          <w:b w:val="0"/>
          <w:color w:val="000000"/>
          <w:sz w:val="22"/>
        </w:rPr>
        <w:t>评测时间：2026-10-07T16:41:31+08:00；Python：3.11.16； 识别执行器：CPUExecutionProvider；检测尺寸：640；选脸策略：center。 特征提取成功 7,690 张、失败 11 张， 记录耗时 6906.79 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60"/>
        <w:gridCol w:w="3427"/>
        <w:gridCol w:w="2252"/>
        <w:gridCol w:w="2252"/>
      </w:tblGrid>
      <w:tr>
        <w:trPr>
          <w:cantSplit/>
          <w:tblHeader w:val="true"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冻结基线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CPU 复现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official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Accuracy@best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0.998496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0.998496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official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TAR@FAR=0.001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0.996989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0.996989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official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实际 FAR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0.000668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0.000668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filtered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Accuracy@best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0.998375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0.998375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filtered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TAR@FAR=0.001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0.996570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0.996570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filtered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实际 FAR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0.000686</w:t>
            </w:r>
          </w:p>
        </w:tc>
        <w:tc>
          <w:tcPr>
            <w:tcW w:type="dxa" w:w="22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0.000686</w:t>
            </w:r>
          </w:p>
        </w:tc>
      </w:tr>
    </w:tbl>
    <w:p>
      <w:pPr>
        <w:spacing w:after="20"/>
      </w:pPr>
    </w:p>
    <w:p>
      <w:r>
        <w:rPr>
          <w:rFonts w:ascii="Arial" w:hAnsi="Arial" w:eastAsia="Noto Sans CJK SC"/>
          <w:b w:val="0"/>
          <w:color w:val="000000"/>
          <w:sz w:val="22"/>
        </w:rPr>
        <w:t xml:space="preserve">验收范围是现有六位小数精度的汇总指标一致性，不宣称阈值、检测框或逐对分数逐位一致。 测试日志记录 </w:t>
      </w:r>
      <w:r>
        <w:rPr>
          <w:rFonts w:ascii="Arial" w:hAnsi="Arial" w:eastAsia="Noto Sans CJK SC"/>
          <w:b/>
          <w:color w:val="000000"/>
          <w:sz w:val="22"/>
        </w:rPr>
        <w:t>156 passed</w:t>
      </w:r>
      <w:r>
        <w:rPr>
          <w:rFonts w:ascii="Arial" w:hAnsi="Arial" w:eastAsia="Noto Sans CJK SC"/>
          <w:b w:val="0"/>
          <w:color w:val="000000"/>
          <w:sz w:val="22"/>
        </w:rPr>
        <w:t>；这是保存日志的结果，不代表本脚本重新执行了测试。 证据：</w:t>
      </w:r>
      <w:hyperlink r:id="rId16">
        <w:r>
          <w:rPr>
            <w:color w:val="27526B"/>
            <w:u w:val="single"/>
            <w:sz w:val="22"/>
            <w:rFonts w:ascii="Arial" w:hAnsi="Arial" w:eastAsia="Noto Sans CJK SC"/>
          </w:rPr>
          <w:t>CPU 复现报告</w:t>
        </w:r>
      </w:hyperlink>
      <w:r>
        <w:rPr>
          <w:rFonts w:ascii="Arial" w:hAnsi="Arial" w:eastAsia="Noto Sans CJK SC"/>
          <w:b w:val="0"/>
          <w:color w:val="000000"/>
          <w:sz w:val="22"/>
        </w:rPr>
        <w:t>、</w:t>
      </w:r>
      <w:hyperlink r:id="rId17">
        <w:r>
          <w:rPr>
            <w:color w:val="27526B"/>
            <w:u w:val="single"/>
            <w:sz w:val="22"/>
            <w:rFonts w:ascii="Arial" w:hAnsi="Arial" w:eastAsia="Noto Sans CJK SC"/>
          </w:rPr>
          <w:t>测试日志</w:t>
        </w:r>
      </w:hyperlink>
      <w:r>
        <w:rPr>
          <w:rFonts w:ascii="Arial" w:hAnsi="Arial" w:eastAsia="Noto Sans CJK SC"/>
          <w:b w:val="0"/>
          <w:color w:val="000000"/>
          <w:sz w:val="22"/>
        </w:rPr>
        <w:t xml:space="preserve">、 </w:t>
      </w:r>
      <w:hyperlink r:id="rId18">
        <w:r>
          <w:rPr>
            <w:color w:val="27526B"/>
            <w:u w:val="single"/>
            <w:sz w:val="22"/>
            <w:rFonts w:ascii="Arial" w:hAnsi="Arial" w:eastAsia="Noto Sans CJK SC"/>
          </w:rPr>
          <w:t>指标 JSON</w:t>
        </w:r>
      </w:hyperlink>
      <w:r>
        <w:rPr>
          <w:rFonts w:ascii="Arial" w:hAnsi="Arial" w:eastAsia="Noto Sans CJK SC"/>
          <w:b w:val="0"/>
          <w:color w:val="000000"/>
          <w:sz w:val="22"/>
        </w:rPr>
        <w:t>、</w:t>
      </w:r>
      <w:hyperlink r:id="rId19">
        <w:r>
          <w:rPr>
            <w:color w:val="27526B"/>
            <w:u w:val="single"/>
            <w:sz w:val="22"/>
            <w:rFonts w:ascii="Arial" w:hAnsi="Arial" w:eastAsia="Noto Sans CJK SC"/>
          </w:rPr>
          <w:t>逐对分数 CSV</w:t>
        </w:r>
      </w:hyperlink>
      <w:r>
        <w:rPr>
          <w:rFonts w:ascii="Arial" w:hAnsi="Arial" w:eastAsia="Noto Sans CJK SC"/>
          <w:b w:val="0"/>
          <w:color w:val="000000"/>
          <w:sz w:val="22"/>
        </w:rPr>
        <w:t>。</w:t>
      </w:r>
    </w:p>
    <w:p>
      <w:r>
        <w:rPr>
          <w:rFonts w:ascii="Arial" w:hAnsi="Arial" w:eastAsia="Noto Sans CJK SC"/>
          <w:b w:val="0"/>
          <w:color w:val="000000"/>
          <w:sz w:val="22"/>
        </w:rPr>
        <w:t>如需重新执行 CPU 推理，先准备项目环境、私有 local 配置、LFW 和模型缓存，再运行：</w:t>
      </w:r>
    </w:p>
    <w:p>
      <w:pPr>
        <w:spacing w:after="60" w:line="276" w:lineRule="auto"/>
      </w:pPr>
      <w:r>
        <w:rPr>
          <w:rFonts w:ascii="DejaVu Sans Mono" w:hAnsi="DejaVu Sans Mono" w:eastAsia="Noto Sans CJK SC"/>
          <w:color w:val="000000"/>
          <w:sz w:val="18"/>
        </w:rPr>
        <w:t>python scripts/evaluate.py --exp-id e0-buffalo_l-lfw --cpu --no-cache --out "results/reproductions/e0-buffalo_l-lfw-b-cpu"</w:t>
      </w:r>
    </w:p>
    <w:p>
      <w:r>
        <w:rPr>
          <w:rFonts w:ascii="Arial" w:hAnsi="Arial" w:eastAsia="Noto Sans CJK SC"/>
          <w:b w:val="0"/>
          <w:color w:val="000000"/>
          <w:sz w:val="22"/>
        </w:rPr>
        <w:t>已有验证证据无需重跑。</w:t>
      </w:r>
      <w:r>
        <w:rPr>
          <w:rFonts w:ascii="DejaVu Sans Mono" w:hAnsi="DejaVu Sans Mono" w:eastAsia="Noto Sans CJK SC"/>
          <w:b w:val="0"/>
          <w:color w:val="000000"/>
          <w:sz w:val="19"/>
        </w:rPr>
        <w:t>--no-cache</w:t>
      </w:r>
      <w:r>
        <w:rPr>
          <w:rFonts w:ascii="Arial" w:hAnsi="Arial" w:eastAsia="Noto Sans CJK SC"/>
          <w:b w:val="0"/>
          <w:color w:val="000000"/>
          <w:sz w:val="22"/>
        </w:rPr>
        <w:t xml:space="preserve"> 重新提取特征，输出放在独立复现目录，保留冻结实验结果。 下载配置没有提供可信预期校验和；本机下载摘要用于文件一致性核对，不能单独证明来源真实性。</w:t>
      </w:r>
    </w:p>
    <w:p>
      <w:pPr>
        <w:pStyle w:val="Heading2"/>
      </w:pPr>
      <w:r>
        <w:rPr>
          <w:rFonts w:ascii="Arial" w:hAnsi="Arial" w:eastAsia="Noto Sans CJK SC"/>
          <w:b/>
          <w:color w:val="000000"/>
          <w:sz w:val="25"/>
        </w:rPr>
        <w:t>6.2 重建展示与报告</w:t>
      </w:r>
    </w:p>
    <w:p>
      <w:pPr>
        <w:spacing w:after="60" w:line="276" w:lineRule="auto"/>
      </w:pPr>
      <w:r>
        <w:rPr>
          <w:rFonts w:ascii="DejaVu Sans Mono" w:hAnsi="DejaVu Sans Mono" w:eastAsia="Noto Sans CJK SC"/>
          <w:color w:val="000000"/>
          <w:sz w:val="18"/>
        </w:rPr>
        <w:t>python tools/export_site_data.py</w:t>
      </w:r>
    </w:p>
    <w:p>
      <w:pPr>
        <w:spacing w:after="60" w:line="276" w:lineRule="auto"/>
      </w:pPr>
      <w:r>
        <w:rPr>
          <w:rFonts w:ascii="DejaVu Sans Mono" w:hAnsi="DejaVu Sans Mono" w:eastAsia="Noto Sans CJK SC"/>
          <w:color w:val="000000"/>
          <w:sz w:val="18"/>
        </w:rPr>
        <w:t>python tools/build_site_charts.py</w:t>
      </w:r>
    </w:p>
    <w:p>
      <w:pPr>
        <w:spacing w:after="60" w:line="276" w:lineRule="auto"/>
      </w:pPr>
      <w:r>
        <w:rPr>
          <w:rFonts w:ascii="DejaVu Sans Mono" w:hAnsi="DejaVu Sans Mono" w:eastAsia="Noto Sans CJK SC"/>
          <w:color w:val="000000"/>
          <w:sz w:val="18"/>
        </w:rPr>
        <w:t>python tools/build_report.py</w:t>
      </w:r>
    </w:p>
    <w:p>
      <w:pPr>
        <w:spacing w:after="60" w:line="276" w:lineRule="auto"/>
      </w:pPr>
      <w:r>
        <w:rPr>
          <w:rFonts w:ascii="DejaVu Sans Mono" w:hAnsi="DejaVu Sans Mono" w:eastAsia="Noto Sans CJK SC"/>
          <w:color w:val="000000"/>
          <w:sz w:val="18"/>
        </w:rPr>
        <w:t>python tools/build_site_page.py</w:t>
      </w:r>
    </w:p>
    <w:p>
      <w:r>
        <w:rPr>
          <w:rFonts w:ascii="Arial" w:hAnsi="Arial" w:eastAsia="Noto Sans CJK SC"/>
          <w:b w:val="0"/>
          <w:color w:val="000000"/>
          <w:sz w:val="22"/>
        </w:rPr>
        <w:t xml:space="preserve">这些脚本读取已有结果，不生成模型样本、不重新训练、不运行 CPU 特征提取。 随后双击 </w:t>
      </w:r>
      <w:r>
        <w:rPr>
          <w:rFonts w:ascii="DejaVu Sans Mono" w:hAnsi="DejaVu Sans Mono" w:eastAsia="Noto Sans CJK SC"/>
          <w:b w:val="0"/>
          <w:color w:val="000000"/>
          <w:sz w:val="19"/>
        </w:rPr>
        <w:t>site/index.html</w:t>
      </w:r>
      <w:r>
        <w:rPr>
          <w:rFonts w:ascii="Arial" w:hAnsi="Arial" w:eastAsia="Noto Sans CJK SC"/>
          <w:b w:val="0"/>
          <w:color w:val="000000"/>
          <w:sz w:val="22"/>
        </w:rPr>
        <w:t xml:space="preserve">；复现证据副本随站点提供。 GPU 生成与训练的历史配方见 </w:t>
      </w:r>
      <w:hyperlink r:id="rId10">
        <w:r>
          <w:rPr>
            <w:color w:val="27526B"/>
            <w:u w:val="single"/>
            <w:sz w:val="22"/>
            <w:rFonts w:ascii="Arial" w:hAnsi="Arial" w:eastAsia="Noto Sans CJK SC"/>
          </w:rPr>
          <w:t>W3-GENERATION.md</w:t>
        </w:r>
      </w:hyperlink>
      <w:r>
        <w:rPr>
          <w:rFonts w:ascii="Arial" w:hAnsi="Arial" w:eastAsia="Noto Sans CJK SC"/>
          <w:b w:val="0"/>
          <w:color w:val="000000"/>
          <w:sz w:val="22"/>
        </w:rPr>
        <w:t xml:space="preserve"> 及对应 configs/exp 配置， 本轮报告整理不重新执行这些实验。</w:t>
      </w:r>
    </w:p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7. 交付状态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36"/>
        <w:gridCol w:w="3623"/>
        <w:gridCol w:w="3133"/>
      </w:tblGrid>
      <w:tr>
        <w:trPr>
          <w:cantSplit/>
          <w:tblHeader w:val="true"/>
        </w:trPr>
        <w:tc>
          <w:tcPr>
            <w:tcW w:type="dxa" w:w="30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1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53D4D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20"/>
              </w:rPr>
              <w:t>当前状态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冻结生成与识别结果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results/runs/</w:t>
            </w:r>
          </w:p>
        </w:tc>
        <w:tc>
          <w:tcPr>
            <w:tcW w:type="dxa" w:w="31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保留原记录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离线网站、图表与视觉对照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site/index.html、site/assets/</w:t>
            </w:r>
          </w:p>
        </w:tc>
        <w:tc>
          <w:tcPr>
            <w:tcW w:type="dxa" w:w="31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已构建，CPU 栏目由脚本更新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评测器修复与边界测试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src/aigcfr/eval/verify.py、tests/</w:t>
            </w:r>
          </w:p>
        </w:tc>
        <w:tc>
          <w:tcPr>
            <w:tcW w:type="dxa" w:w="31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已有合并记录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CPU E0 复现证据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results/reproductions/、reports/e0_cpu_reproduction.b.*</w:t>
            </w:r>
          </w:p>
        </w:tc>
        <w:tc>
          <w:tcPr>
            <w:tcW w:type="dxa" w:w="31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已完成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报告数字与统计核对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本文、reports/report_numeric_audit.b.md</w:t>
            </w:r>
          </w:p>
        </w:tc>
        <w:tc>
          <w:tcPr>
            <w:tcW w:type="dxa" w:w="31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本次生成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外部读者三分钟验收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#25 验收项</w:t>
            </w:r>
          </w:p>
        </w:tc>
        <w:tc>
          <w:tcPr>
            <w:tcW w:type="dxa" w:w="31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暂未记录完成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排版导出 PDF / DOCX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reports/AIGCFR_report.b.pdf 与 .docx</w:t>
            </w:r>
          </w:p>
        </w:tc>
        <w:tc>
          <w:tcPr>
            <w:tcW w:type="dxa" w:w="31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已导出，实验数字沿用本文</w:t>
            </w:r>
          </w:p>
        </w:tc>
      </w:tr>
      <w:tr>
        <w:trPr>
          <w:cantSplit/>
        </w:trPr>
        <w:tc>
          <w:tcPr>
            <w:tcW w:type="dxa" w:w="30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issue 索引同步</w:t>
            </w:r>
          </w:p>
        </w:tc>
        <w:tc>
          <w:tcPr>
            <w:tcW w:type="dxa" w:w="362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docs/issues/00-INDEX.md</w:t>
            </w:r>
          </w:p>
        </w:tc>
        <w:tc>
          <w:tcPr>
            <w:tcW w:type="dxa" w:w="31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1F5F7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Noto Sans CJK SC"/>
                <w:b w:val="0"/>
                <w:color w:val="000000"/>
                <w:sz w:val="20"/>
              </w:rPr>
              <w:t>待核对实际同步脚本与状态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Arial" w:hAnsi="Arial" w:eastAsia="Noto Sans CJK SC"/>
          <w:b/>
          <w:color w:val="000000"/>
          <w:sz w:val="32"/>
        </w:rPr>
        <w:t>8. 参考文献</w:t>
      </w:r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>以下为实际引用的原始论文、报告和官方资料。外部文献支持方法或风险讨论，不提供本项目实验数字。 作者、题名与来源已核对；实现文档访问日期为 2026-10-07。</w:t>
      </w:r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[1] Huang, G. B.; Mattar, M.; Berg, T.; Learned-Miller, E. Labeled Faces in the Wild: A Database for Studying Face Recognition in Unconstrained Environments. ECCV Workshop, 2008. </w:t>
      </w:r>
      <w:hyperlink r:id="rId20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[2] Huang, G. B.; Learned-Miller, E. Labeled Faces in the Wild: Updates and New Reporting Procedures. UMass Technical Report UM-CS-2014-003, 2014. </w:t>
      </w:r>
      <w:hyperlink r:id="rId21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[3] Deng, J.; Guo, J.; Xue, N.; Zafeiriou, S. ArcFace: Additive Angular Margin Loss for Deep Face Recognition. CVPR, 2019; arXiv:1801.07698v3. </w:t>
      </w:r>
      <w:hyperlink r:id="rId22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[4] Rombach, R.; Blattmann, A.; Lorenz, D.; Esser, P.; Ommer, B. High-Resolution Image Synthesis with Latent Diffusion Models. CVPR, 2022. </w:t>
      </w:r>
      <w:hyperlink r:id="rId23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[5] Song, J.; Meng, C.; Ermon, S. Denoising Diffusion Implicit Models. ICLR, 2021. </w:t>
      </w:r>
      <w:hyperlink r:id="rId24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[6] Ye, H.; Zhang, J.; Liu, S.; Han, X.; Yang, W. IP-Adapter: Text Compatible Image Prompt Adapter for Text-to-Image Diffusion Models. arXiv:2308.06721, 2023. </w:t>
      </w:r>
      <w:hyperlink r:id="rId25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[7] Qiu, H.; Yu, B.; Gong, D.; Li, Z.; Liu, W.; Tao, D. SynFace: Face Recognition with Synthetic Data. ICCV, 2021. </w:t>
      </w:r>
      <w:hyperlink r:id="rId26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[8] Bae, G.; de La Gorce, M.; Baltrusaitis, T.; Hewitt, C.; Chen, D.; Valentin, J.; Cipolla, R.; Shen, J. DigiFace-1M: 1 Million Digital Face Images for Face Recognition. WACV, 2023. </w:t>
      </w:r>
      <w:hyperlink r:id="rId27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[9] Kim, M.; Liu, F.; Jain, A.; Liu, X. DCFace: Synthetic Face Generation with Dual Condition Diffusion Model. CVPR, 2023. </w:t>
      </w:r>
      <w:hyperlink r:id="rId28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[10] Otroshi Shahreza, H.; Marcel, S. Unveiling Synthetic Faces: How Synthetic Datasets Can Expose Real Identities. NeurIPS Workshop on New Frontiers in Adversarial Machine Learning, 2024. </w:t>
      </w:r>
      <w:hyperlink r:id="rId29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[11] h94 / IP-Adapter authors. IP-Adapter-FaceID official model card. Implementation and research-use conditions; accessed 2026-10-07. </w:t>
      </w:r>
      <w:hyperlink r:id="rId30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spacing w:line="293" w:lineRule="auto" w:after="200"/>
      </w:pPr>
      <w:r>
        <w:rPr>
          <w:rFonts w:ascii="Arial" w:hAnsi="Arial" w:eastAsia="Noto Sans CJK SC"/>
          <w:b w:val="0"/>
          <w:color w:val="000000"/>
          <w:sz w:val="20"/>
        </w:rPr>
        <w:t xml:space="preserve">[12] SciPy developers. scipy.stats.ttest_ind documentation. Welch test and two-sided alternatives; accessed 2026-10-07. </w:t>
      </w:r>
      <w:hyperlink r:id="rId31">
        <w:r>
          <w:rPr>
            <w:color w:val="27526B"/>
            <w:u w:val="single"/>
            <w:sz w:val="20"/>
            <w:rFonts w:ascii="Arial" w:hAnsi="Arial" w:eastAsia="Noto Sans CJK SC"/>
          </w:rPr>
          <w:t>原始来源</w:t>
        </w:r>
      </w:hyperlink>
    </w:p>
    <w:p>
      <w:pPr>
        <w:pStyle w:val="Heading1"/>
        <w:pageBreakBefore/>
      </w:pPr>
      <w:r>
        <w:rPr>
          <w:rFonts w:ascii="Arial" w:hAnsi="Arial" w:eastAsia="Noto Sans CJK SC"/>
          <w:b/>
          <w:color w:val="000000"/>
          <w:sz w:val="32"/>
        </w:rPr>
        <w:t>附录 数字与来源</w:t>
      </w:r>
    </w:p>
    <w:p>
      <w:r>
        <w:rPr>
          <w:rFonts w:ascii="Arial" w:hAnsi="Arial" w:eastAsia="Noto Sans CJK SC"/>
          <w:b w:val="0"/>
          <w:color w:val="000000"/>
          <w:sz w:val="22"/>
        </w:rPr>
        <w:t xml:space="preserve">训练数量与运行规模来自各 metrics 的 train_set、model、protocol_detail 与 benchmarks。 Held-out TAR 专门读取 </w:t>
      </w:r>
      <w:r>
        <w:rPr>
          <w:rFonts w:ascii="DejaVu Sans Mono" w:hAnsi="DejaVu Sans Mono" w:eastAsia="Noto Sans CJK SC"/>
          <w:b w:val="0"/>
          <w:color w:val="000000"/>
          <w:sz w:val="19"/>
        </w:rPr>
        <w:t>benchmarks.lfw_heldout.tar_at_far_full['1e-03'].tar</w:t>
      </w:r>
      <w:r>
        <w:rPr>
          <w:rFonts w:ascii="Arial" w:hAnsi="Arial" w:eastAsia="Noto Sans CJK SC"/>
          <w:b w:val="0"/>
          <w:color w:val="000000"/>
          <w:sz w:val="22"/>
        </w:rPr>
        <w:t>。 跨种子统计取 w4 comparison 的 arms[*].protocols 和 tests；配方表取 w3 comparison 的 final_recipe。 CPU 表取独立复现 metrics，与 E0 冻结记录对照；passed 数来自保存的 pytest 文本日志。 LFW 全量规模来自文献 [1]。本次没有把旧稿未核实的筛选均值或类别比例伪装成 JSON 结果。</w:t>
      </w:r>
    </w:p>
    <w:p>
      <w:r>
        <w:rPr>
          <w:rFonts w:ascii="Arial" w:hAnsi="Arial" w:eastAsia="Noto Sans CJK SC"/>
          <w:b w:val="0"/>
          <w:color w:val="000000"/>
          <w:sz w:val="22"/>
        </w:rPr>
        <w:t>导出来源及摘要：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results/runs/w3-generator-comparison/comparison.json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5fc8dab10bb68a0c73d550ea6ea27bb5d5843578d66987492ee05f0735eb5695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results/runs/w4-e4-comparison/comparison.json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566a4c634cf1d9a2719490eeade0039f3ff735e7489bfb11b8222608536c7838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results/runs/e0-buffalo_l-heldout/metrics.json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a7fb2bef44c37f1ecee740e1ddeb5d1b02434a0717058477f497cd7b9d08e12b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results/runs/e0-buffalo_l-lfw/metrics.json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7d1fc48c9eff6ba9e76366c000a72edef3a273a9a4a451cf3219a3abab27f60b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results/runs/e1-real-only-seed0/metrics.json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e182fac66f46822ad224654c6b6da77effd78a554fbd9298b758b738a7984a13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results/runs/e1-real-only-seed1/metrics.json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7a6347e43184ed087d793a563592ffc825502985d503a348368e3bbf2e55945b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results/runs/e1-real-only-seed2/metrics.json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41db6118201848acc22f11efb0d50e953970547cefc9a51cb73f7dca4adfca41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results/runs/e4-highquality-synth-seed0/metrics.json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f652eef443bb414b1151af3eee52f1c35b7dd74c8e3745f812fb014ea4120fbd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results/runs/e4-real-plus-synth-seed0/metrics.json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d22740ee0337a6f9c3d5fb49d48858249419fdfcfe53c43519fd95f2c0434bfe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results/runs/e4-real-plus-synth-seed1/metrics.json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467e11fac7ada0f8a70712d00853ea49bfda072d1110fa2bf9c4b94493343e12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results/runs/e4-real-plus-synth-seed2/metrics.json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6599e6ecbb5965e0b0a10b5a37e5d92830f99700d3fdb61240e024230ce14da1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results/reproductions/e0-buffalo_l-lfw-b-cpu/metrics.json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b9a80d36e0dd4fe492d5245d35e995f9c62cff124866dd2d1a5135842460e120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reports/e0_cpu_reproduction.b.md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4285decb10969c5081663f8c98e1b01ac70d7ea25bd3273025f929041161bf8a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p>
      <w:pPr>
        <w:spacing w:line="288" w:lineRule="auto" w:after="120"/>
        <w:ind w:left="245" w:hanging="245"/>
      </w:pPr>
      <w:r>
        <w:rPr>
          <w:rFonts w:ascii="Arial" w:hAnsi="Arial" w:eastAsia="Noto Sans CJK SC"/>
          <w:b w:val="0"/>
          <w:color w:val="000000"/>
          <w:sz w:val="18"/>
        </w:rPr>
        <w:t xml:space="preserve">- </w:t>
      </w:r>
      <w:r>
        <w:rPr>
          <w:rFonts w:ascii="DejaVu Sans Mono" w:hAnsi="DejaVu Sans Mono" w:eastAsia="Noto Sans CJK SC"/>
          <w:b w:val="0"/>
          <w:color w:val="000000"/>
          <w:sz w:val="18"/>
        </w:rPr>
        <w:t>reports/e0_cpu_reproduction.b.pytest.txt</w:t>
      </w:r>
      <w:r>
        <w:rPr>
          <w:rFonts w:ascii="Arial" w:hAnsi="Arial" w:eastAsia="Noto Sans CJK SC"/>
          <w:b w:val="0"/>
          <w:color w:val="000000"/>
          <w:sz w:val="18"/>
        </w:rPr>
        <w:t>；SHA-256：</w:t>
      </w:r>
      <w:r>
        <w:rPr>
          <w:rFonts w:ascii="DejaVu Sans Mono" w:hAnsi="DejaVu Sans Mono" w:eastAsia="Noto Sans CJK SC"/>
          <w:b w:val="0"/>
          <w:color w:val="000000"/>
          <w:sz w:val="18"/>
        </w:rPr>
        <w:t>b2bdb284e628ebdfb065f29df2a9d64aa626887bb7929eb19397d7c07421eb4e</w:t>
      </w:r>
      <w:r>
        <w:rPr>
          <w:rFonts w:ascii="Arial" w:hAnsi="Arial" w:eastAsia="Noto Sans CJK SC"/>
          <w:b w:val="0"/>
          <w:color w:val="000000"/>
          <w:sz w:val="18"/>
        </w:rPr>
        <w:t>。</w:t>
      </w:r>
    </w:p>
    <w:sectPr w:rsidR="00FC693F" w:rsidRPr="0006063C" w:rsidSect="00034616">
      <w:pgSz w:w="12240" w:h="15840"/>
      <w:pgMar w:top="1037" w:right="1224" w:bottom="1037" w:left="1224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000000"/>
        <w:sz w:val="18"/>
      </w:rPr>
      <w:t xml:space="preserve">第 </w:t>
    </w:r>
    <w:fldSimple w:instr="PAGE"/>
    <w:r>
      <w:rPr>
        <w:rFonts w:ascii="Arial" w:hAnsi="Arial" w:eastAsia="Noto Sans CJK SC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140"/>
    </w:pPr>
    <w:rPr>
      <w:rFonts w:ascii="Arial" w:hAnsi="Arial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DrGlitch666/AIGC-in-Face-Recognition-Dataset-Augmentation/blob/main/docs/W3-GENERATION.md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github.com/DrGlitch666/AIGC-in-Face-Recognition-Dataset-Augmentation/blob/main/reports/e0_cpu_reproduction.b.md" TargetMode="External"/><Relationship Id="rId17" Type="http://schemas.openxmlformats.org/officeDocument/2006/relationships/hyperlink" Target="https://github.com/DrGlitch666/AIGC-in-Face-Recognition-Dataset-Augmentation/blob/main/reports/e0_cpu_reproduction.b.pytest.txt" TargetMode="External"/><Relationship Id="rId18" Type="http://schemas.openxmlformats.org/officeDocument/2006/relationships/hyperlink" Target="https://github.com/DrGlitch666/AIGC-in-Face-Recognition-Dataset-Augmentation/blob/main/results/reproductions/e0-buffalo_l-lfw-b-cpu/metrics.json" TargetMode="External"/><Relationship Id="rId19" Type="http://schemas.openxmlformats.org/officeDocument/2006/relationships/hyperlink" Target="https://github.com/DrGlitch666/AIGC-in-Face-Recognition-Dataset-Augmentation/blob/main/results/reproductions/e0-buffalo_l-lfw-b-cpu/pairs.csv" TargetMode="External"/><Relationship Id="rId20" Type="http://schemas.openxmlformats.org/officeDocument/2006/relationships/hyperlink" Target="https://people.cs.umass.edu/~elm/papers/Huang_eccv2008-lfw.pdf" TargetMode="External"/><Relationship Id="rId21" Type="http://schemas.openxmlformats.org/officeDocument/2006/relationships/hyperlink" Target="https://people.cs.umass.edu/~elm/papers/lfw_update.pdf" TargetMode="External"/><Relationship Id="rId22" Type="http://schemas.openxmlformats.org/officeDocument/2006/relationships/hyperlink" Target="https://arxiv.org/abs/1801.07698v3" TargetMode="External"/><Relationship Id="rId23" Type="http://schemas.openxmlformats.org/officeDocument/2006/relationships/hyperlink" Target="https://arxiv.org/abs/2112.10752" TargetMode="External"/><Relationship Id="rId24" Type="http://schemas.openxmlformats.org/officeDocument/2006/relationships/hyperlink" Target="https://arxiv.org/abs/2010.02502" TargetMode="External"/><Relationship Id="rId25" Type="http://schemas.openxmlformats.org/officeDocument/2006/relationships/hyperlink" Target="https://arxiv.org/abs/2308.06721" TargetMode="External"/><Relationship Id="rId26" Type="http://schemas.openxmlformats.org/officeDocument/2006/relationships/hyperlink" Target="https://arxiv.org/abs/2108.07960" TargetMode="External"/><Relationship Id="rId27" Type="http://schemas.openxmlformats.org/officeDocument/2006/relationships/hyperlink" Target="https://arxiv.org/abs/2210.02579" TargetMode="External"/><Relationship Id="rId28" Type="http://schemas.openxmlformats.org/officeDocument/2006/relationships/hyperlink" Target="https://arxiv.org/abs/2304.07060" TargetMode="External"/><Relationship Id="rId29" Type="http://schemas.openxmlformats.org/officeDocument/2006/relationships/hyperlink" Target="https://arxiv.org/abs/2410.24015" TargetMode="External"/><Relationship Id="rId30" Type="http://schemas.openxmlformats.org/officeDocument/2006/relationships/hyperlink" Target="https://huggingface.co/h94/IP-Adapter-FaceID" TargetMode="External"/><Relationship Id="rId31" Type="http://schemas.openxmlformats.org/officeDocument/2006/relationships/hyperlink" Target="https://docs.scipy.org/doc/scipy/reference/generated/scipy.stats.ttest_in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AIGC 合成人脸数据用于人脸识别数据扩充 实验报告</dc:title>
  <dc:subject>冻结实验结果统计核对与 CPU E0 复现</dc:subject>
  <dc:creator>AIGCFR 项目组</dc:creator>
  <cp:keywords>face recognition, synthetic data, CPU reproduction, Welch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