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95638" w14:textId="145E0970" w:rsidR="00B160FA" w:rsidRDefault="004554E1" w:rsidP="005C4283">
      <w:pPr>
        <w:pStyle w:val="Heading1"/>
        <w:spacing w:before="0"/>
      </w:pPr>
      <w:r>
        <w:t xml:space="preserve">Finding </w:t>
      </w:r>
      <w:r w:rsidR="00EC4B92">
        <w:t>Exact Values of the Trigonometric Functions Secant, Cosecant, Tangent and Cotangent</w:t>
      </w:r>
    </w:p>
    <w:p w14:paraId="769CD2C5" w14:textId="49B7789E" w:rsidR="00677313" w:rsidRDefault="00677313" w:rsidP="00677313">
      <w:pPr>
        <w:rPr>
          <w:rFonts w:eastAsiaTheme="minorEastAsia"/>
        </w:rPr>
      </w:pPr>
      <w:r>
        <w:t xml:space="preserve">We can also define the remaining functions in terms of the unit circle with a point </w:t>
      </w:r>
      <m:oMath>
        <m:r>
          <w:rPr>
            <w:rFonts w:ascii="Cambria Math" w:hAnsi="Cambria Math"/>
          </w:rPr>
          <m:t>(x, y)</m:t>
        </m:r>
      </m:oMath>
      <w:r>
        <w:rPr>
          <w:rFonts w:eastAsiaTheme="minorEastAsia"/>
        </w:rPr>
        <w:t xml:space="preserve"> corresponding to an angle of </w:t>
      </w:r>
      <m:oMath>
        <m:r>
          <w:rPr>
            <w:rFonts w:ascii="Cambria Math" w:eastAsiaTheme="minorEastAsia" w:hAnsi="Cambria Math"/>
          </w:rPr>
          <m:t>t</m:t>
        </m:r>
      </m:oMath>
      <w:r>
        <w:rPr>
          <w:rFonts w:eastAsiaTheme="minorEastAsia"/>
        </w:rPr>
        <w:t>.</w:t>
      </w:r>
    </w:p>
    <w:p w14:paraId="690D4F23" w14:textId="5408A3A8" w:rsidR="00677313" w:rsidRDefault="00143085" w:rsidP="000E320D">
      <w:pPr>
        <w:pStyle w:val="Quote"/>
      </w:pPr>
      <w:r>
        <w:t xml:space="preserve">It </w:t>
      </w:r>
      <m:oMath>
        <m:r>
          <w:rPr>
            <w:rFonts w:ascii="Cambria Math" w:hAnsi="Cambria Math"/>
          </w:rPr>
          <m:t>t</m:t>
        </m:r>
      </m:oMath>
      <w:r>
        <w:t xml:space="preserve"> is a real number and </w:t>
      </w:r>
      <m:oMath>
        <m:r>
          <w:rPr>
            <w:rFonts w:ascii="Cambria Math" w:hAnsi="Cambria Math"/>
          </w:rPr>
          <m:t>(x,y)</m:t>
        </m:r>
      </m:oMath>
      <w:r>
        <w:t xml:space="preserve"> is a point where the terminal side of an angle of </w:t>
      </w:r>
      <m:oMath>
        <m:r>
          <w:rPr>
            <w:rFonts w:ascii="Cambria Math" w:hAnsi="Cambria Math"/>
          </w:rPr>
          <m:t>t</m:t>
        </m:r>
      </m:oMath>
      <w:r>
        <w:t xml:space="preserve"> radians intercepts the unit circle, then </w:t>
      </w:r>
    </w:p>
    <w:p w14:paraId="6A7B3AA5" w14:textId="54FC8BC5" w:rsidR="00143085" w:rsidRDefault="00D7782A" w:rsidP="000E320D">
      <w:pPr>
        <w:pStyle w:val="Quote"/>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 x≠0</m:t>
          </m:r>
        </m:oMath>
      </m:oMathPara>
    </w:p>
    <w:p w14:paraId="7059C2B4" w14:textId="56CFF528" w:rsidR="00143085" w:rsidRPr="00677313" w:rsidRDefault="00D7782A" w:rsidP="000E320D">
      <w:pPr>
        <w:pStyle w:val="Quote"/>
      </w:pPr>
      <m:oMathPara>
        <m:oMath>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x≠0</m:t>
          </m:r>
        </m:oMath>
      </m:oMathPara>
    </w:p>
    <w:p w14:paraId="3E8F69DA" w14:textId="64847989" w:rsidR="00143085" w:rsidRPr="00677313" w:rsidRDefault="00D7782A" w:rsidP="000E320D">
      <w:pPr>
        <w:pStyle w:val="Quote"/>
      </w:pPr>
      <m:oMathPara>
        <m:oMath>
          <m:func>
            <m:funcPr>
              <m:ctrlPr>
                <w:rPr>
                  <w:rFonts w:ascii="Cambria Math" w:hAnsi="Cambria Math"/>
                  <w:i/>
                </w:rPr>
              </m:ctrlPr>
            </m:funcPr>
            <m:fName>
              <m:r>
                <m:rPr>
                  <m:sty m:val="p"/>
                </m:rPr>
                <w:rPr>
                  <w:rFonts w:ascii="Cambria Math" w:hAnsi="Cambria Math"/>
                </w:rPr>
                <m:t>csc</m:t>
              </m:r>
            </m:fName>
            <m:e>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 y≠0</m:t>
          </m:r>
        </m:oMath>
      </m:oMathPara>
    </w:p>
    <w:p w14:paraId="1EDCB0C8" w14:textId="79D32E47" w:rsidR="00143085" w:rsidRPr="00143085" w:rsidRDefault="00D7782A" w:rsidP="000E320D">
      <w:pPr>
        <w:pStyle w:val="Quote"/>
      </w:pPr>
      <m:oMathPara>
        <m:oMath>
          <m:func>
            <m:funcPr>
              <m:ctrlPr>
                <w:rPr>
                  <w:rFonts w:ascii="Cambria Math" w:hAnsi="Cambria Math"/>
                  <w:i/>
                </w:rPr>
              </m:ctrlPr>
            </m:funcPr>
            <m:fName>
              <m:r>
                <m:rPr>
                  <m:sty m:val="p"/>
                </m:rPr>
                <w:rPr>
                  <w:rFonts w:ascii="Cambria Math" w:hAnsi="Cambria Math"/>
                </w:rPr>
                <m:t>cot</m:t>
              </m:r>
            </m:fName>
            <m:e>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 y≠0</m:t>
          </m:r>
        </m:oMath>
      </m:oMathPara>
    </w:p>
    <w:p w14:paraId="35A355E0" w14:textId="1B53DA51" w:rsidR="00143085" w:rsidRPr="00143085" w:rsidRDefault="00143085" w:rsidP="00143085">
      <w:pPr>
        <w:rPr>
          <w:rStyle w:val="IntenseEmphasis"/>
        </w:rPr>
      </w:pPr>
      <w:r w:rsidRPr="00143085">
        <w:rPr>
          <w:rStyle w:val="IntenseEmphasis"/>
        </w:rPr>
        <w:t>Examples</w:t>
      </w:r>
    </w:p>
    <w:p w14:paraId="7AEB2539" w14:textId="7230E496" w:rsidR="00143085" w:rsidRPr="000E320D" w:rsidRDefault="00143085" w:rsidP="000E320D">
      <w:pPr>
        <w:pStyle w:val="ListParagraph"/>
        <w:numPr>
          <w:ilvl w:val="0"/>
          <w:numId w:val="2"/>
        </w:numPr>
      </w:pPr>
      <w:r w:rsidRPr="000E320D">
        <w:rPr>
          <w:rFonts w:eastAsiaTheme="minorEastAsia"/>
        </w:rPr>
        <w:t xml:space="preserve">The point </w:t>
      </w:r>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sidRPr="000E320D">
        <w:rPr>
          <w:rFonts w:eastAsiaTheme="minorEastAsia"/>
        </w:rPr>
        <w:t xml:space="preserve"> is on the unit circle. Find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csc</m:t>
            </m:r>
          </m:fName>
          <m:e>
            <m:r>
              <w:rPr>
                <w:rFonts w:ascii="Cambria Math" w:eastAsiaTheme="minorEastAsia" w:hAnsi="Cambria Math"/>
              </w:rPr>
              <m:t>t</m:t>
            </m:r>
          </m:e>
        </m:func>
        <m:r>
          <w:rPr>
            <w:rFonts w:ascii="Cambria Math" w:eastAsiaTheme="minorEastAsia" w:hAnsi="Cambria Math"/>
          </w:rPr>
          <m:t xml:space="preserve">, </m:t>
        </m:r>
      </m:oMath>
      <w:r w:rsidR="000E320D" w:rsidRPr="000E320D">
        <w:rPr>
          <w:rFonts w:eastAsiaTheme="minorEastAsia"/>
        </w:rPr>
        <w:t xml:space="preserve">and </w:t>
      </w:r>
      <m:oMath>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t</m:t>
            </m:r>
          </m:e>
        </m:func>
      </m:oMath>
      <w:r w:rsidR="000E320D" w:rsidRPr="000E320D">
        <w:rPr>
          <w:rFonts w:eastAsiaTheme="minorEastAsia"/>
        </w:rPr>
        <w:t>.</w:t>
      </w:r>
    </w:p>
    <w:p w14:paraId="58BE51EA" w14:textId="739BBD6E" w:rsidR="000E320D" w:rsidRDefault="000E320D" w:rsidP="00D7782A">
      <w:pPr>
        <w:spacing w:after="1200"/>
      </w:pPr>
      <w:r>
        <w:rPr>
          <w:noProof/>
          <w:lang w:eastAsia="zh-TW"/>
        </w:rPr>
        <w:drawing>
          <wp:inline distT="0" distB="0" distL="0" distR="0" wp14:anchorId="68805A82" wp14:editId="2ADD7EB6">
            <wp:extent cx="3069203" cy="1534602"/>
            <wp:effectExtent l="0" t="0" r="0" b="8890"/>
            <wp:docPr id="1" name="Picture 1" descr="Example on the unit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5847" cy="1537924"/>
                    </a:xfrm>
                    <a:prstGeom prst="rect">
                      <a:avLst/>
                    </a:prstGeom>
                  </pic:spPr>
                </pic:pic>
              </a:graphicData>
            </a:graphic>
          </wp:inline>
        </w:drawing>
      </w:r>
    </w:p>
    <w:p w14:paraId="5B24DD00" w14:textId="7C4F5169" w:rsidR="000E320D" w:rsidRPr="000E320D" w:rsidRDefault="000E320D" w:rsidP="000E320D">
      <w:pPr>
        <w:pStyle w:val="ListParagraph"/>
        <w:numPr>
          <w:ilvl w:val="0"/>
          <w:numId w:val="2"/>
        </w:numPr>
      </w:pPr>
      <w:r w:rsidRPr="000E320D">
        <w:rPr>
          <w:rFonts w:eastAsiaTheme="minorEastAsia"/>
        </w:rPr>
        <w:t xml:space="preserve">Find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csc</m:t>
            </m:r>
          </m:fName>
          <m:e>
            <m:r>
              <w:rPr>
                <w:rFonts w:ascii="Cambria Math" w:eastAsiaTheme="minorEastAsia" w:hAnsi="Cambria Math"/>
              </w:rPr>
              <m:t>t</m:t>
            </m:r>
          </m:e>
        </m:func>
        <m:r>
          <w:rPr>
            <w:rFonts w:ascii="Cambria Math" w:eastAsiaTheme="minorEastAsia" w:hAnsi="Cambria Math"/>
          </w:rPr>
          <m:t xml:space="preserve">, </m:t>
        </m:r>
      </m:oMath>
      <w:r w:rsidRPr="000E320D">
        <w:rPr>
          <w:rFonts w:eastAsiaTheme="minorEastAsia"/>
        </w:rPr>
        <w:t xml:space="preserve">and </w:t>
      </w:r>
      <m:oMath>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t</m:t>
            </m:r>
          </m:e>
        </m:func>
      </m:oMath>
      <w:r>
        <w:rPr>
          <w:rFonts w:eastAsiaTheme="minorEastAsia"/>
        </w:rPr>
        <w:t xml:space="preserve"> when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oMath>
      <w:r>
        <w:rPr>
          <w:rFonts w:eastAsiaTheme="minorEastAsia"/>
        </w:rPr>
        <w:t>.</w:t>
      </w:r>
    </w:p>
    <w:p w14:paraId="53EEDF08" w14:textId="77777777" w:rsidR="000E320D" w:rsidRDefault="000E320D">
      <w:pPr>
        <w:spacing w:line="240" w:lineRule="auto"/>
      </w:pPr>
      <w:r>
        <w:br w:type="page"/>
      </w:r>
    </w:p>
    <w:p w14:paraId="38BF0A6A" w14:textId="434157D0" w:rsidR="000E320D" w:rsidRDefault="000E320D" w:rsidP="000E320D">
      <w:pPr>
        <w:pStyle w:val="Heading1"/>
      </w:pPr>
      <w:r>
        <w:lastRenderedPageBreak/>
        <w:t>Using Reference Angles to Evaluate Tangent, Secant, Cosecant, and Cotangent</w:t>
      </w:r>
    </w:p>
    <w:p w14:paraId="778ADDA7" w14:textId="41A3C4B9" w:rsidR="00143085" w:rsidRDefault="00030C28" w:rsidP="00677313">
      <w:pPr>
        <w:rPr>
          <w:rFonts w:cstheme="minorHAnsi"/>
          <w:shd w:val="clear" w:color="auto" w:fill="FFFFFF"/>
        </w:rPr>
      </w:pPr>
      <w:r w:rsidRPr="00030C28">
        <w:rPr>
          <w:rFonts w:cstheme="minorHAnsi"/>
          <w:shd w:val="clear" w:color="auto" w:fill="FFFFFF"/>
        </w:rPr>
        <w:t>We can evaluate trigonometric functions of angles outside the first quadrant using reference angles as we have already done with the sine and cosine functions. The procedure is the same: Find the reference angle formed by the terminal side of the given angle with the horizontal axis. The trigonometric function values for the original angle will be the same as those for the reference angle, except for the positive or negative sign, which is determined by </w:t>
      </w:r>
      <m:oMath>
        <m:r>
          <w:rPr>
            <w:rFonts w:ascii="Cambria Math" w:hAnsi="Cambria Math" w:cstheme="minorHAnsi"/>
            <w:shd w:val="clear" w:color="auto" w:fill="FFFFFF"/>
          </w:rPr>
          <m:t>x</m:t>
        </m:r>
      </m:oMath>
      <w:r w:rsidRPr="00030C28">
        <w:rPr>
          <w:rFonts w:cstheme="minorHAnsi"/>
          <w:shd w:val="clear" w:color="auto" w:fill="FFFFFF"/>
        </w:rPr>
        <w:t>- and </w:t>
      </w:r>
      <m:oMath>
        <m:r>
          <w:rPr>
            <w:rFonts w:ascii="Cambria Math" w:hAnsi="Cambria Math" w:cstheme="minorHAnsi"/>
            <w:shd w:val="clear" w:color="auto" w:fill="FFFFFF"/>
          </w:rPr>
          <m:t>y</m:t>
        </m:r>
      </m:oMath>
      <w:r w:rsidRPr="00030C28">
        <w:rPr>
          <w:rFonts w:cstheme="minorHAnsi"/>
          <w:shd w:val="clear" w:color="auto" w:fill="FFFFFF"/>
        </w:rPr>
        <w:t>-values in the original quadrant.</w:t>
      </w:r>
    </w:p>
    <w:p w14:paraId="42BEC399" w14:textId="0592AB8A" w:rsidR="00030C28" w:rsidRDefault="00030C28" w:rsidP="00030C28">
      <w:pPr>
        <w:jc w:val="center"/>
        <w:rPr>
          <w:rFonts w:cstheme="minorHAnsi"/>
          <w:shd w:val="clear" w:color="auto" w:fill="FFFFFF"/>
        </w:rPr>
      </w:pPr>
      <w:r>
        <w:rPr>
          <w:noProof/>
          <w:lang w:eastAsia="zh-TW"/>
        </w:rPr>
        <w:drawing>
          <wp:inline distT="0" distB="0" distL="0" distR="0" wp14:anchorId="67469D9F" wp14:editId="48184295">
            <wp:extent cx="3250741" cy="2997642"/>
            <wp:effectExtent l="0" t="0" r="6985" b="0"/>
            <wp:docPr id="3" name="Picture 3" descr="Signs of the trig functions in each quad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0555" cy="3006692"/>
                    </a:xfrm>
                    <a:prstGeom prst="rect">
                      <a:avLst/>
                    </a:prstGeom>
                  </pic:spPr>
                </pic:pic>
              </a:graphicData>
            </a:graphic>
          </wp:inline>
        </w:drawing>
      </w:r>
    </w:p>
    <w:p w14:paraId="66CB73A5" w14:textId="445E2446" w:rsidR="00030C28" w:rsidRDefault="00030C28" w:rsidP="00030C28">
      <w:pPr>
        <w:rPr>
          <w:rFonts w:cstheme="minorHAnsi"/>
          <w:shd w:val="clear" w:color="auto" w:fill="FFFFFF"/>
        </w:rPr>
      </w:pPr>
    </w:p>
    <w:p w14:paraId="1E2C7D4F" w14:textId="5AB8716A" w:rsidR="00D55E98" w:rsidRDefault="00030C28" w:rsidP="00030C28">
      <w:pPr>
        <w:pStyle w:val="Quote"/>
      </w:pPr>
      <w:r>
        <w:t xml:space="preserve">Given an angle not in the first quadrant, use reference angles to find all six trigonometric functions. </w:t>
      </w:r>
    </w:p>
    <w:p w14:paraId="70E3DA5A" w14:textId="06AA7AD9" w:rsidR="00030C28" w:rsidRDefault="0025764A" w:rsidP="00030C28">
      <w:pPr>
        <w:pStyle w:val="Quote"/>
      </w:pPr>
      <w:r>
        <w:t>1.</w:t>
      </w:r>
      <w:r>
        <w:tab/>
      </w:r>
      <w:r w:rsidR="00030C28">
        <w:t>Measure the angle formed by the terminal side of the given angle and the horizontal axis (this is the reference angle).</w:t>
      </w:r>
    </w:p>
    <w:p w14:paraId="1906815F" w14:textId="231E5324" w:rsidR="00030C28" w:rsidRDefault="0025764A" w:rsidP="00030C28">
      <w:pPr>
        <w:pStyle w:val="Quote"/>
      </w:pPr>
      <w:r>
        <w:t>2.</w:t>
      </w:r>
      <w:r>
        <w:tab/>
      </w:r>
      <w:r w:rsidR="00030C28">
        <w:t>Evaluate the function at the reference angle.</w:t>
      </w:r>
    </w:p>
    <w:p w14:paraId="77863018" w14:textId="1869E5F4" w:rsidR="00030C28" w:rsidRDefault="0025764A" w:rsidP="00030C28">
      <w:pPr>
        <w:pStyle w:val="Quote"/>
      </w:pPr>
      <w:r>
        <w:t>3.</w:t>
      </w:r>
      <w:r>
        <w:tab/>
      </w:r>
      <w:r w:rsidR="00030C28">
        <w:t>Observe the quadrant where the terminal side of the original angle is located. Based on the quadrant, determine whether the output is positive or negative.</w:t>
      </w:r>
    </w:p>
    <w:p w14:paraId="2DF0E3FE" w14:textId="3442EB55" w:rsidR="00030C28" w:rsidRPr="00035E27" w:rsidRDefault="00035E27" w:rsidP="00030C28">
      <w:pPr>
        <w:rPr>
          <w:rStyle w:val="IntenseEmphasis"/>
        </w:rPr>
      </w:pPr>
      <w:r w:rsidRPr="00035E27">
        <w:rPr>
          <w:rStyle w:val="IntenseEmphasis"/>
        </w:rPr>
        <w:t>Example</w:t>
      </w:r>
    </w:p>
    <w:p w14:paraId="51CE9E09" w14:textId="3462E3EF" w:rsidR="00035E27" w:rsidRDefault="00035E27" w:rsidP="00030C28">
      <w:r>
        <w:t xml:space="preserve">Use reference angles to find all six trigonometric functions of </w:t>
      </w: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6</m:t>
            </m:r>
          </m:den>
        </m:f>
      </m:oMath>
      <w:r>
        <w:rPr>
          <w:rFonts w:eastAsiaTheme="minorEastAsia"/>
        </w:rPr>
        <w:t>.</w:t>
      </w:r>
    </w:p>
    <w:p w14:paraId="4E9DBDD6" w14:textId="1FE50366" w:rsidR="00E356A9" w:rsidRDefault="00E356A9">
      <w:pPr>
        <w:spacing w:line="240" w:lineRule="auto"/>
      </w:pPr>
      <w:r>
        <w:br w:type="page"/>
      </w:r>
    </w:p>
    <w:p w14:paraId="7C661890" w14:textId="77777777" w:rsidR="00263A77" w:rsidRDefault="00263A77" w:rsidP="00263A77">
      <w:pPr>
        <w:pStyle w:val="Heading1"/>
      </w:pPr>
      <w:r>
        <w:lastRenderedPageBreak/>
        <w:t>Using Even and Odd Trigonometric Functions</w:t>
      </w:r>
    </w:p>
    <w:p w14:paraId="662B000C" w14:textId="77777777" w:rsidR="00263A77" w:rsidRDefault="00263A77">
      <w:pPr>
        <w:spacing w:line="240" w:lineRule="auto"/>
        <w:rPr>
          <w:rFonts w:eastAsiaTheme="minorEastAsia"/>
        </w:rPr>
      </w:pPr>
      <w:r>
        <w:t xml:space="preserve">Recall that an even function is one in which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=f(x)</m:t>
        </m:r>
      </m:oMath>
      <w:r>
        <w:rPr>
          <w:rFonts w:eastAsiaTheme="minorEastAsia"/>
        </w:rPr>
        <w:t xml:space="preserve"> and an odd function is one in which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=-f(x)</m:t>
        </m:r>
      </m:oMath>
      <w:r>
        <w:rPr>
          <w:rFonts w:eastAsiaTheme="minorEastAsia"/>
        </w:rPr>
        <w:t xml:space="preserve">. We can test whether a trigonometric function is even or odd by drawing a unit circle with a positive and negative angle, as shown below. The sine of a positive angle is </w:t>
      </w:r>
      <m:oMath>
        <m:r>
          <w:rPr>
            <w:rFonts w:ascii="Cambria Math" w:eastAsiaTheme="minorEastAsia" w:hAnsi="Cambria Math"/>
          </w:rPr>
          <m:t>y</m:t>
        </m:r>
      </m:oMath>
      <w:r>
        <w:rPr>
          <w:rFonts w:eastAsiaTheme="minorEastAsia"/>
        </w:rPr>
        <w:t xml:space="preserve">. The sine of the negative angle is </w:t>
      </w:r>
      <m:oMath>
        <m:r>
          <w:rPr>
            <w:rFonts w:ascii="Cambria Math" w:eastAsiaTheme="minorEastAsia" w:hAnsi="Cambria Math"/>
          </w:rPr>
          <m:t>–y</m:t>
        </m:r>
      </m:oMath>
      <w:r>
        <w:rPr>
          <w:rFonts w:eastAsiaTheme="minorEastAsia"/>
        </w:rPr>
        <w:t>. The sine function, then, is an odd function. We can test each of the six trigonometric functions in the same way.</w:t>
      </w:r>
    </w:p>
    <w:p w14:paraId="15FE1F79" w14:textId="77777777" w:rsidR="00263A77" w:rsidRDefault="00263A77">
      <w:pPr>
        <w:spacing w:line="240" w:lineRule="auto"/>
        <w:rPr>
          <w:rFonts w:eastAsiaTheme="minorEastAsia"/>
        </w:rPr>
      </w:pPr>
    </w:p>
    <w:p w14:paraId="27485061" w14:textId="77777777" w:rsidR="00263A77" w:rsidRDefault="00263A77" w:rsidP="00263A77">
      <w:pPr>
        <w:spacing w:line="240" w:lineRule="auto"/>
        <w:jc w:val="center"/>
      </w:pPr>
      <w:r>
        <w:rPr>
          <w:noProof/>
          <w:lang w:eastAsia="zh-TW"/>
        </w:rPr>
        <w:drawing>
          <wp:inline distT="0" distB="0" distL="0" distR="0" wp14:anchorId="42DD9C80" wp14:editId="379EFFF5">
            <wp:extent cx="2529425" cy="2242268"/>
            <wp:effectExtent l="0" t="0" r="4445" b="5715"/>
            <wp:docPr id="4" name="Picture 4" descr="Even and odd trig functions on a unit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1208" cy="2252713"/>
                    </a:xfrm>
                    <a:prstGeom prst="rect">
                      <a:avLst/>
                    </a:prstGeom>
                  </pic:spPr>
                </pic:pic>
              </a:graphicData>
            </a:graphic>
          </wp:inline>
        </w:drawing>
      </w:r>
    </w:p>
    <w:p w14:paraId="6D46F20F" w14:textId="77777777" w:rsidR="00263A77" w:rsidRDefault="00263A77">
      <w:pPr>
        <w:spacing w:line="240" w:lineRule="auto"/>
      </w:pPr>
    </w:p>
    <w:p w14:paraId="3C4854C1" w14:textId="77777777" w:rsidR="00263A77" w:rsidRPr="00263A77" w:rsidRDefault="00263A77" w:rsidP="00263A77">
      <w:pPr>
        <w:pStyle w:val="Quote"/>
        <w:rPr>
          <w:rStyle w:val="Strong"/>
        </w:rPr>
      </w:pPr>
      <w:r w:rsidRPr="00263A77">
        <w:rPr>
          <w:rStyle w:val="Strong"/>
        </w:rPr>
        <w:t>Even and Odd Trigonometric Functions</w:t>
      </w:r>
    </w:p>
    <w:p w14:paraId="228B4C5D" w14:textId="01DED608" w:rsidR="00263A77" w:rsidRDefault="00263A77" w:rsidP="00263A77">
      <w:pPr>
        <w:pStyle w:val="Quote"/>
        <w:rPr>
          <w:rFonts w:eastAsiaTheme="minorEastAsia"/>
        </w:rPr>
      </w:pPr>
      <w:r>
        <w:t xml:space="preserve">An even function is one in which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=f(x)</m:t>
        </m:r>
      </m:oMath>
      <w:r>
        <w:rPr>
          <w:rFonts w:eastAsiaTheme="minorEastAsia"/>
        </w:rPr>
        <w:t>.</w:t>
      </w:r>
    </w:p>
    <w:p w14:paraId="563CCAA7" w14:textId="77777777" w:rsidR="00263A77" w:rsidRDefault="00263A77" w:rsidP="00263A77">
      <w:pPr>
        <w:pStyle w:val="Quote"/>
        <w:rPr>
          <w:rFonts w:eastAsiaTheme="minorEastAsia"/>
        </w:rPr>
      </w:pPr>
      <w:r>
        <w:rPr>
          <w:rFonts w:eastAsiaTheme="minorEastAsia"/>
        </w:rPr>
        <w:t xml:space="preserve">An odd function is one in which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=-f(x)</m:t>
        </m:r>
      </m:oMath>
      <w:r>
        <w:rPr>
          <w:rFonts w:eastAsiaTheme="minorEastAsia"/>
        </w:rPr>
        <w:t xml:space="preserve">. </w:t>
      </w:r>
    </w:p>
    <w:p w14:paraId="10F5B097" w14:textId="77777777" w:rsidR="00263A77" w:rsidRDefault="00263A77" w:rsidP="00263A77">
      <w:pPr>
        <w:pStyle w:val="Quote"/>
      </w:pPr>
      <w:r>
        <w:t>Cosine and secant are even:</w:t>
      </w:r>
    </w:p>
    <w:p w14:paraId="34A0A0AB" w14:textId="77777777" w:rsidR="00263A77" w:rsidRDefault="00D7782A" w:rsidP="00263A77">
      <w:pPr>
        <w:pStyle w:val="Quote"/>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oMath>
      </m:oMathPara>
    </w:p>
    <w:p w14:paraId="351B0827" w14:textId="77777777" w:rsidR="00263A77" w:rsidRDefault="00D7782A" w:rsidP="00263A77">
      <w:pPr>
        <w:pStyle w:val="Quote"/>
        <w:rPr>
          <w:rFonts w:eastAsiaTheme="minorEastAsia"/>
        </w:rPr>
      </w:pPr>
      <m:oMathPara>
        <m:oMath>
          <m:func>
            <m:funcPr>
              <m:ctrlPr>
                <w:rPr>
                  <w:rFonts w:ascii="Cambria Math" w:hAnsi="Cambria Math"/>
                </w:rPr>
              </m:ctrlPr>
            </m:funcPr>
            <m:fName>
              <m:r>
                <m:rPr>
                  <m:sty m:val="p"/>
                </m:rPr>
                <w:rPr>
                  <w:rFonts w:ascii="Cambria Math" w:hAnsi="Cambria Math"/>
                </w:rPr>
                <m:t>sec</m:t>
              </m: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oMath>
      </m:oMathPara>
    </w:p>
    <w:p w14:paraId="409BC0FC" w14:textId="4DDFF056" w:rsidR="00263A77" w:rsidRDefault="00263A77" w:rsidP="00263A77">
      <w:pPr>
        <w:pStyle w:val="Quote"/>
        <w:rPr>
          <w:rFonts w:eastAsiaTheme="minorEastAsia"/>
        </w:rPr>
      </w:pPr>
      <w:r>
        <w:rPr>
          <w:rFonts w:eastAsiaTheme="minorEastAsia"/>
        </w:rPr>
        <w:t>Sine, tangent, cosecant, and cotangent are odd:</w:t>
      </w:r>
    </w:p>
    <w:p w14:paraId="78C89FE1" w14:textId="29D8C53F" w:rsidR="00263A77" w:rsidRPr="00263A77" w:rsidRDefault="00D7782A" w:rsidP="00263A77">
      <w:pPr>
        <w:pStyle w:val="Quote"/>
        <w:rPr>
          <w:rFonts w:eastAsiaTheme="minorEastAsia"/>
        </w:rPr>
      </w:pPr>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oMath>
      </m:oMathPara>
    </w:p>
    <w:p w14:paraId="3D88FD11" w14:textId="5F6444CB" w:rsidR="00263A77" w:rsidRPr="00263A77" w:rsidRDefault="00D7782A" w:rsidP="00263A77">
      <w:pPr>
        <w:pStyle w:val="Quote"/>
        <w:rPr>
          <w:rFonts w:eastAsiaTheme="minor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oMath>
      </m:oMathPara>
    </w:p>
    <w:p w14:paraId="6E653FC2" w14:textId="634A89F2" w:rsidR="00263A77" w:rsidRPr="00263A77" w:rsidRDefault="00D7782A" w:rsidP="00263A77">
      <w:pPr>
        <w:pStyle w:val="Quote"/>
        <w:rPr>
          <w:rFonts w:eastAsiaTheme="minorEastAsia"/>
        </w:rPr>
      </w:pPr>
      <m:oMathPara>
        <m:oMath>
          <m:func>
            <m:funcPr>
              <m:ctrlPr>
                <w:rPr>
                  <w:rFonts w:ascii="Cambria Math" w:hAnsi="Cambria Math"/>
                </w:rPr>
              </m:ctrlPr>
            </m:funcPr>
            <m:fName>
              <m:r>
                <m:rPr>
                  <m:sty m:val="p"/>
                </m:rPr>
                <w:rPr>
                  <w:rFonts w:ascii="Cambria Math" w:hAnsi="Cambria Math"/>
                </w:rPr>
                <m:t>csc</m:t>
              </m: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-ccs</m:t>
              </m:r>
            </m:fName>
            <m:e>
              <m:r>
                <w:rPr>
                  <w:rFonts w:ascii="Cambria Math" w:hAnsi="Cambria Math"/>
                </w:rPr>
                <m:t>t</m:t>
              </m:r>
            </m:e>
          </m:func>
        </m:oMath>
      </m:oMathPara>
    </w:p>
    <w:p w14:paraId="20E009AD" w14:textId="62D317BE" w:rsidR="00263A77" w:rsidRPr="00263A77" w:rsidRDefault="00D7782A" w:rsidP="00263A77">
      <w:pPr>
        <w:pStyle w:val="Quote"/>
        <w:rPr>
          <w:rFonts w:eastAsiaTheme="minorEastAsia"/>
        </w:rPr>
      </w:pPr>
      <m:oMathPara>
        <m:oMath>
          <m:func>
            <m:funcPr>
              <m:ctrlPr>
                <w:rPr>
                  <w:rFonts w:ascii="Cambria Math" w:hAnsi="Cambria Math"/>
                </w:rPr>
              </m:ctrlPr>
            </m:funcPr>
            <m:fName>
              <m:r>
                <m:rPr>
                  <m:sty m:val="p"/>
                </m:rPr>
                <w:rPr>
                  <w:rFonts w:ascii="Cambria Math" w:hAnsi="Cambria Math"/>
                </w:rPr>
                <m:t>cot</m:t>
              </m: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t</m:t>
              </m:r>
            </m:e>
          </m:func>
        </m:oMath>
      </m:oMathPara>
    </w:p>
    <w:p w14:paraId="1F19EE1E" w14:textId="77777777" w:rsidR="00D7782A" w:rsidRDefault="00D7782A">
      <w:pPr>
        <w:spacing w:line="240" w:lineRule="auto"/>
        <w:rPr>
          <w:rStyle w:val="IntenseEmphasis"/>
        </w:rPr>
      </w:pPr>
      <w:r>
        <w:rPr>
          <w:rStyle w:val="IntenseEmphasis"/>
        </w:rPr>
        <w:br w:type="page"/>
      </w:r>
    </w:p>
    <w:p w14:paraId="0DC9BF95" w14:textId="09A87840" w:rsidR="00051B6B" w:rsidRPr="00051B6B" w:rsidRDefault="00051B6B" w:rsidP="00263A77">
      <w:pPr>
        <w:rPr>
          <w:rStyle w:val="IntenseEmphasis"/>
        </w:rPr>
      </w:pPr>
      <w:r w:rsidRPr="00051B6B">
        <w:rPr>
          <w:rStyle w:val="IntenseEmphasis"/>
        </w:rPr>
        <w:lastRenderedPageBreak/>
        <w:t>Examples</w:t>
      </w:r>
    </w:p>
    <w:p w14:paraId="2D943D28" w14:textId="77777777" w:rsidR="00051B6B" w:rsidRPr="00051B6B" w:rsidRDefault="00051B6B" w:rsidP="00D7782A">
      <w:pPr>
        <w:pStyle w:val="ListParagraph"/>
        <w:numPr>
          <w:ilvl w:val="0"/>
          <w:numId w:val="8"/>
        </w:numPr>
        <w:spacing w:after="1200"/>
        <w:contextualSpacing w:val="0"/>
      </w:pPr>
      <w:r>
        <w:t xml:space="preserve">If the secant of angle </w:t>
      </w:r>
      <m:oMath>
        <m:r>
          <w:rPr>
            <w:rFonts w:ascii="Cambria Math" w:hAnsi="Cambria Math"/>
          </w:rPr>
          <m:t>t</m:t>
        </m:r>
      </m:oMath>
      <w:r>
        <w:rPr>
          <w:rFonts w:eastAsiaTheme="minorEastAsia"/>
        </w:rPr>
        <w:t xml:space="preserve"> is 2, what is the secant of </w:t>
      </w:r>
      <m:oMath>
        <m:r>
          <w:rPr>
            <w:rFonts w:ascii="Cambria Math" w:eastAsiaTheme="minorEastAsia" w:hAnsi="Cambria Math"/>
          </w:rPr>
          <m:t>–t</m:t>
        </m:r>
      </m:oMath>
      <w:r>
        <w:rPr>
          <w:rFonts w:eastAsiaTheme="minorEastAsia"/>
        </w:rPr>
        <w:t>?</w:t>
      </w:r>
    </w:p>
    <w:p w14:paraId="413DAB76" w14:textId="77777777" w:rsidR="00DB39E3" w:rsidRPr="00DB39E3" w:rsidRDefault="00051B6B" w:rsidP="00D7782A">
      <w:pPr>
        <w:pStyle w:val="ListParagraph"/>
        <w:numPr>
          <w:ilvl w:val="0"/>
          <w:numId w:val="8"/>
        </w:numPr>
        <w:spacing w:after="1200"/>
        <w:contextualSpacing w:val="0"/>
      </w:pPr>
      <w:r>
        <w:rPr>
          <w:rFonts w:eastAsiaTheme="minorEastAsia"/>
        </w:rPr>
        <w:t xml:space="preserve">If the cotangent of angle </w:t>
      </w:r>
      <m:oMath>
        <m:r>
          <w:rPr>
            <w:rFonts w:ascii="Cambria Math" w:eastAsiaTheme="minorEastAsia" w:hAnsi="Cambria Math"/>
          </w:rPr>
          <m:t>t</m:t>
        </m:r>
      </m:oMath>
      <w:r>
        <w:rPr>
          <w:rFonts w:eastAsiaTheme="minorEastAsia"/>
        </w:rPr>
        <w:t xml:space="preserve"> is </w:t>
      </w:r>
      <m:oMath>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what is the cotangent of </w:t>
      </w:r>
      <m:oMath>
        <m:r>
          <w:rPr>
            <w:rFonts w:ascii="Cambria Math" w:eastAsiaTheme="minorEastAsia" w:hAnsi="Cambria Math"/>
          </w:rPr>
          <m:t>–t</m:t>
        </m:r>
      </m:oMath>
      <w:r>
        <w:rPr>
          <w:rFonts w:eastAsiaTheme="minorEastAsia"/>
        </w:rPr>
        <w:t>?</w:t>
      </w:r>
    </w:p>
    <w:p w14:paraId="2F8537A9" w14:textId="50306E69" w:rsidR="00263A77" w:rsidRPr="00263A77" w:rsidRDefault="00DB39E3" w:rsidP="00D7782A">
      <w:pPr>
        <w:pStyle w:val="ListParagraph"/>
        <w:numPr>
          <w:ilvl w:val="0"/>
          <w:numId w:val="8"/>
        </w:numPr>
        <w:spacing w:after="1200"/>
        <w:contextualSpacing w:val="0"/>
      </w:pPr>
      <w:r>
        <w:rPr>
          <w:rFonts w:eastAsiaTheme="minorEastAsia"/>
        </w:rPr>
        <w:t xml:space="preserve">Determine whether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w:r>
        <w:rPr>
          <w:rFonts w:eastAsiaTheme="minorEastAsia"/>
        </w:rPr>
        <w:t xml:space="preserve"> is even, odd, or neither.</w:t>
      </w:r>
    </w:p>
    <w:p w14:paraId="2FC0316E" w14:textId="3CEEC841" w:rsidR="00030C28" w:rsidRDefault="005F273C" w:rsidP="005F273C">
      <w:pPr>
        <w:pStyle w:val="Heading1"/>
      </w:pPr>
      <w:r>
        <w:t>Recognizing and Using Fundamental Identities</w:t>
      </w:r>
    </w:p>
    <w:p w14:paraId="25B12F38" w14:textId="404A5CC1" w:rsidR="005F273C" w:rsidRDefault="005F273C" w:rsidP="005B3B02">
      <w:pPr>
        <w:pStyle w:val="Quote"/>
      </w:pPr>
      <w:r>
        <w:t>We can derive some useful identities from the six trigonometric functions. The other four trigonometric functions can be related back to the sine and cosine functions using these basic relationships:</w:t>
      </w:r>
    </w:p>
    <w:p w14:paraId="7FD52A02" w14:textId="3F807D37" w:rsidR="005F273C" w:rsidRDefault="00D7782A" w:rsidP="005B3B02">
      <w:pPr>
        <w:pStyle w:val="Quote"/>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den>
          </m:f>
        </m:oMath>
      </m:oMathPara>
    </w:p>
    <w:p w14:paraId="567CCCCA" w14:textId="151E8E89" w:rsidR="005F273C" w:rsidRDefault="00D7782A" w:rsidP="005B3B02">
      <w:pPr>
        <w:pStyle w:val="Quote"/>
        <w:rPr>
          <w:rFonts w:eastAsiaTheme="minorEastAsia"/>
        </w:rPr>
      </w:pPr>
      <m:oMathPara>
        <m:oMath>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den>
          </m:f>
        </m:oMath>
      </m:oMathPara>
    </w:p>
    <w:p w14:paraId="0CC93694" w14:textId="099C1AF3" w:rsidR="005F273C" w:rsidRDefault="00D7782A" w:rsidP="005B3B02">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csc</m:t>
              </m:r>
            </m:fName>
            <m:e>
              <m:r>
                <w:rPr>
                  <w:rFonts w:ascii="Cambria Math"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den>
          </m:f>
        </m:oMath>
      </m:oMathPara>
    </w:p>
    <w:p w14:paraId="1E3F9366" w14:textId="219445F8" w:rsidR="005F273C" w:rsidRDefault="00D7782A" w:rsidP="005B3B02">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cot</m:t>
              </m:r>
            </m:fName>
            <m:e>
              <m:r>
                <w:rPr>
                  <w:rFonts w:ascii="Cambria Math"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t</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den>
          </m:f>
        </m:oMath>
      </m:oMathPara>
    </w:p>
    <w:p w14:paraId="3F507C06" w14:textId="590B27CB" w:rsidR="005F273C" w:rsidRPr="00083968" w:rsidRDefault="00083968" w:rsidP="00030C28">
      <w:pPr>
        <w:rPr>
          <w:rStyle w:val="IntenseEmphasis"/>
        </w:rPr>
      </w:pPr>
      <w:r w:rsidRPr="00083968">
        <w:rPr>
          <w:rStyle w:val="IntenseEmphasis"/>
        </w:rPr>
        <w:t>Examples</w:t>
      </w:r>
    </w:p>
    <w:p w14:paraId="1C0278D4" w14:textId="1B3EBCC3" w:rsidR="00083968" w:rsidRPr="005B3B02" w:rsidRDefault="00083968" w:rsidP="00D7782A">
      <w:pPr>
        <w:pStyle w:val="ListParagraph"/>
        <w:numPr>
          <w:ilvl w:val="0"/>
          <w:numId w:val="6"/>
        </w:numPr>
        <w:spacing w:after="1200"/>
        <w:contextualSpacing w:val="0"/>
      </w:pPr>
      <w:r>
        <w:t xml:space="preserve">Given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oMath>
      <w:r>
        <w:rPr>
          <w:rFonts w:eastAsiaTheme="minorEastAsia"/>
        </w:rPr>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oMath>
      <w:r>
        <w:rPr>
          <w:rFonts w:eastAsiaTheme="minorEastAsia"/>
        </w:rPr>
        <w:t xml:space="preserve">, evaluate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(45°</m:t>
            </m:r>
          </m:e>
        </m:func>
        <m:r>
          <w:rPr>
            <w:rFonts w:ascii="Cambria Math" w:eastAsiaTheme="minorEastAsia" w:hAnsi="Cambria Math"/>
          </w:rPr>
          <m:t>)</m:t>
        </m:r>
      </m:oMath>
      <w:r>
        <w:rPr>
          <w:rFonts w:eastAsiaTheme="minorEastAsia"/>
        </w:rPr>
        <w:t>.</w:t>
      </w:r>
    </w:p>
    <w:p w14:paraId="50DC43DB" w14:textId="6ADDFB82" w:rsidR="005B3B02" w:rsidRPr="005B3B02" w:rsidRDefault="005B3B02" w:rsidP="00D7782A">
      <w:pPr>
        <w:pStyle w:val="ListParagraph"/>
        <w:numPr>
          <w:ilvl w:val="0"/>
          <w:numId w:val="6"/>
        </w:numPr>
        <w:spacing w:after="1200"/>
        <w:contextualSpacing w:val="0"/>
      </w:pPr>
      <w:r>
        <w:t xml:space="preserve">Evaluate </w:t>
      </w:r>
      <m:oMath>
        <m:func>
          <m:funcPr>
            <m:ctrlPr>
              <w:rPr>
                <w:rFonts w:ascii="Cambria Math" w:hAnsi="Cambria Math"/>
                <w:i/>
              </w:rPr>
            </m:ctrlPr>
          </m:funcPr>
          <m:fName>
            <m:r>
              <m:rPr>
                <m:sty m:val="p"/>
              </m:rPr>
              <w:rPr>
                <w:rFonts w:ascii="Cambria Math" w:hAnsi="Cambria Math"/>
              </w:rPr>
              <m:t>csc</m:t>
            </m:r>
          </m:fName>
          <m:e>
            <m:f>
              <m:fPr>
                <m:ctrlPr>
                  <w:rPr>
                    <w:rFonts w:ascii="Cambria Math" w:hAnsi="Cambria Math"/>
                    <w:i/>
                  </w:rPr>
                </m:ctrlPr>
              </m:fPr>
              <m:num>
                <m:r>
                  <w:rPr>
                    <w:rFonts w:ascii="Cambria Math" w:hAnsi="Cambria Math"/>
                  </w:rPr>
                  <m:t>7π</m:t>
                </m:r>
              </m:num>
              <m:den>
                <m:r>
                  <w:rPr>
                    <w:rFonts w:ascii="Cambria Math" w:hAnsi="Cambria Math"/>
                  </w:rPr>
                  <m:t>6</m:t>
                </m:r>
              </m:den>
            </m:f>
          </m:e>
        </m:func>
      </m:oMath>
      <w:r>
        <w:rPr>
          <w:rFonts w:eastAsiaTheme="minorEastAsia"/>
        </w:rPr>
        <w:t>.</w:t>
      </w:r>
    </w:p>
    <w:p w14:paraId="6106AA6D" w14:textId="1A52CDEC" w:rsidR="005B3B02" w:rsidRPr="005B3B02" w:rsidRDefault="005B3B02" w:rsidP="00D7782A">
      <w:pPr>
        <w:pStyle w:val="ListParagraph"/>
        <w:numPr>
          <w:ilvl w:val="0"/>
          <w:numId w:val="6"/>
        </w:numPr>
        <w:spacing w:after="1200"/>
        <w:contextualSpacing w:val="0"/>
      </w:pPr>
      <w:r>
        <w:rPr>
          <w:rFonts w:eastAsiaTheme="minorEastAsia"/>
        </w:rPr>
        <w:t xml:space="preserve">Simplify </w:t>
      </w:r>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t</m:t>
                </m:r>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t</m:t>
                </m:r>
              </m:e>
            </m:func>
          </m:den>
        </m:f>
      </m:oMath>
      <w:r>
        <w:rPr>
          <w:rFonts w:eastAsiaTheme="minorEastAsia"/>
        </w:rPr>
        <w:t>.</w:t>
      </w:r>
    </w:p>
    <w:p w14:paraId="75B28A82" w14:textId="066B09E0" w:rsidR="005B3B02" w:rsidRPr="002C5385" w:rsidRDefault="005B3B02" w:rsidP="00D7782A">
      <w:pPr>
        <w:pStyle w:val="ListParagraph"/>
        <w:numPr>
          <w:ilvl w:val="0"/>
          <w:numId w:val="6"/>
        </w:numPr>
        <w:spacing w:after="1200"/>
        <w:contextualSpacing w:val="0"/>
      </w:pPr>
      <w:r>
        <w:rPr>
          <w:rFonts w:eastAsiaTheme="minorEastAsia"/>
        </w:rPr>
        <w:t xml:space="preserve">Simplify </w:t>
      </w:r>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r>
          <w:rPr>
            <w:rFonts w:ascii="Cambria Math" w:eastAsiaTheme="minorEastAsia" w:hAnsi="Cambria Math"/>
          </w:rPr>
          <m:t>)</m:t>
        </m:r>
      </m:oMath>
    </w:p>
    <w:p w14:paraId="53668368" w14:textId="1CFD89DA" w:rsidR="002C5385" w:rsidRPr="00624BA7" w:rsidRDefault="002C5385" w:rsidP="00D7782A">
      <w:pPr>
        <w:pStyle w:val="ListParagraph"/>
        <w:numPr>
          <w:ilvl w:val="0"/>
          <w:numId w:val="6"/>
        </w:numPr>
        <w:spacing w:after="1200"/>
        <w:contextualSpacing w:val="0"/>
      </w:pPr>
      <w:r>
        <w:t xml:space="preserve">If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find </w:t>
      </w:r>
      <m:oMath>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csc</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(t)</m:t>
            </m:r>
          </m:e>
        </m:func>
      </m:oMath>
      <w:r>
        <w:rPr>
          <w:rFonts w:eastAsiaTheme="minorEastAsia"/>
        </w:rPr>
        <w:t>.</w:t>
      </w:r>
    </w:p>
    <w:p w14:paraId="69A8A3A0" w14:textId="351C0B2D" w:rsidR="00624BA7" w:rsidRDefault="00624BA7" w:rsidP="00624BA7"/>
    <w:p w14:paraId="43E3DB79" w14:textId="3FDDF847" w:rsidR="00624BA7" w:rsidRDefault="00624BA7">
      <w:pPr>
        <w:spacing w:line="240" w:lineRule="auto"/>
      </w:pPr>
    </w:p>
    <w:p w14:paraId="0FE58701" w14:textId="79476B14" w:rsidR="00624BA7" w:rsidRDefault="00624BA7" w:rsidP="00624BA7">
      <w:pPr>
        <w:pStyle w:val="Heading2"/>
      </w:pPr>
      <w:r>
        <w:lastRenderedPageBreak/>
        <w:t>Alternate Forms of the Pythagorean Identity</w:t>
      </w:r>
    </w:p>
    <w:p w14:paraId="65F260A7" w14:textId="02288B92" w:rsidR="00624BA7" w:rsidRDefault="00624BA7" w:rsidP="00624BA7">
      <w:pPr>
        <w:rPr>
          <w:rFonts w:eastAsiaTheme="minorEastAsia"/>
        </w:rPr>
      </w:pPr>
      <w:r>
        <w:t xml:space="preserve">We can use fundamental identities to derive alternate forms of the Pythagorean Identity, </w:t>
      </w:r>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=1</m:t>
        </m:r>
      </m:oMath>
      <w:r w:rsidR="00B537DA">
        <w:rPr>
          <w:rFonts w:eastAsiaTheme="minorEastAsia"/>
        </w:rPr>
        <w:t xml:space="preserve">. One form is obtained by dividing both sides by </w:t>
      </w:r>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t</m:t>
            </m:r>
          </m:e>
        </m:func>
      </m:oMath>
      <w:r w:rsidR="00B537DA">
        <w:rPr>
          <w:rFonts w:eastAsiaTheme="minorEastAsia"/>
        </w:rPr>
        <w:t xml:space="preserve">. </w:t>
      </w:r>
    </w:p>
    <w:p w14:paraId="27B03963" w14:textId="0D728738" w:rsidR="00B537DA" w:rsidRDefault="00B537DA" w:rsidP="00624BA7">
      <w:pPr>
        <w:rPr>
          <w:rFonts w:eastAsiaTheme="minorEastAsia"/>
        </w:rPr>
      </w:pPr>
    </w:p>
    <w:p w14:paraId="7DBA16C1" w14:textId="109A26C7" w:rsidR="00B537DA" w:rsidRPr="00B537DA" w:rsidRDefault="00D7782A" w:rsidP="00624BA7">
      <w:pPr>
        <w:rPr>
          <w:rFonts w:eastAsiaTheme="minorEastAsia"/>
        </w:rPr>
      </w:pPr>
      <m:oMathPara>
        <m:oMath>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t</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t</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t</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t</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t</m:t>
                  </m:r>
                </m:e>
              </m:func>
            </m:den>
          </m:f>
        </m:oMath>
      </m:oMathPara>
    </w:p>
    <w:p w14:paraId="4A0958E2" w14:textId="77777777" w:rsidR="00B537DA" w:rsidRDefault="00B537DA" w:rsidP="00624BA7">
      <w:pPr>
        <w:rPr>
          <w:rFonts w:eastAsiaTheme="minorEastAsia"/>
        </w:rPr>
      </w:pPr>
    </w:p>
    <w:p w14:paraId="43B17347" w14:textId="2B925515" w:rsidR="00B537DA" w:rsidRDefault="00B537DA" w:rsidP="00624BA7">
      <w:pPr>
        <w:rPr>
          <w:rFonts w:eastAsiaTheme="minorEastAsia"/>
        </w:rPr>
      </w:pPr>
      <m:oMathPara>
        <m:oMath>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t</m:t>
              </m:r>
            </m:e>
          </m:func>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t</m:t>
              </m:r>
            </m:e>
          </m:func>
        </m:oMath>
      </m:oMathPara>
    </w:p>
    <w:p w14:paraId="770818FC" w14:textId="3C4C3970" w:rsidR="00B537DA" w:rsidRDefault="00B537DA" w:rsidP="00624BA7">
      <w:pPr>
        <w:rPr>
          <w:rFonts w:eastAsiaTheme="minorEastAsia"/>
        </w:rPr>
      </w:pPr>
    </w:p>
    <w:p w14:paraId="534447F1" w14:textId="2D9469AD" w:rsidR="00B537DA" w:rsidRDefault="00B537DA" w:rsidP="00624BA7">
      <w:pPr>
        <w:rPr>
          <w:rFonts w:eastAsiaTheme="minorEastAsia"/>
        </w:rPr>
      </w:pPr>
      <w:r>
        <w:rPr>
          <w:rFonts w:eastAsiaTheme="minorEastAsia"/>
        </w:rPr>
        <w:t xml:space="preserve">The other form is obtained by dividing both sides by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t</m:t>
            </m:r>
          </m:e>
        </m:func>
      </m:oMath>
      <w:r>
        <w:rPr>
          <w:rFonts w:eastAsiaTheme="minorEastAsia"/>
        </w:rPr>
        <w:t>.</w:t>
      </w:r>
    </w:p>
    <w:p w14:paraId="0A3A0E15" w14:textId="77777777" w:rsidR="00B537DA" w:rsidRDefault="00B537DA" w:rsidP="00624BA7">
      <w:pPr>
        <w:rPr>
          <w:rFonts w:eastAsiaTheme="minorEastAsia"/>
        </w:rPr>
      </w:pPr>
    </w:p>
    <w:p w14:paraId="603902AA" w14:textId="0B81B804" w:rsidR="00B537DA" w:rsidRPr="00B537DA" w:rsidRDefault="00D7782A" w:rsidP="00B537DA">
      <w:pPr>
        <w:rPr>
          <w:rFonts w:eastAsiaTheme="minorEastAsia"/>
        </w:rPr>
      </w:pPr>
      <m:oMathPara>
        <m:oMath>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t</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t</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t</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t</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t</m:t>
                  </m:r>
                </m:e>
              </m:func>
            </m:den>
          </m:f>
        </m:oMath>
      </m:oMathPara>
    </w:p>
    <w:p w14:paraId="06281000" w14:textId="77777777" w:rsidR="00B537DA" w:rsidRDefault="00B537DA" w:rsidP="00B537DA">
      <w:pPr>
        <w:rPr>
          <w:rFonts w:eastAsiaTheme="minorEastAsia"/>
        </w:rPr>
      </w:pPr>
    </w:p>
    <w:p w14:paraId="49FA741D" w14:textId="328B26D4" w:rsidR="00B537DA" w:rsidRDefault="00D7782A" w:rsidP="00B537DA">
      <w:pPr>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cot</m:t>
                  </m:r>
                </m:e>
                <m:sup>
                  <m:r>
                    <m:rPr>
                      <m:sty m:val="p"/>
                    </m:rPr>
                    <w:rPr>
                      <w:rFonts w:ascii="Cambria Math" w:hAnsi="Cambria Math"/>
                    </w:rPr>
                    <m:t>2</m:t>
                  </m:r>
                </m:sup>
              </m:sSup>
            </m:fName>
            <m:e>
              <m:r>
                <w:rPr>
                  <w:rFonts w:ascii="Cambria Math" w:hAnsi="Cambria Math"/>
                </w:rPr>
                <m:t>t</m:t>
              </m:r>
            </m:e>
          </m:func>
          <m:r>
            <w:rPr>
              <w:rFonts w:ascii="Cambria Math" w:eastAsiaTheme="minorEastAsia"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t</m:t>
              </m:r>
            </m:e>
          </m:func>
        </m:oMath>
      </m:oMathPara>
    </w:p>
    <w:p w14:paraId="4A2D115A" w14:textId="77777777" w:rsidR="00EB50CF" w:rsidRDefault="00EB50CF" w:rsidP="00B537DA">
      <w:pPr>
        <w:rPr>
          <w:rFonts w:eastAsiaTheme="minorEastAsia"/>
        </w:rPr>
      </w:pPr>
    </w:p>
    <w:p w14:paraId="3A1DDFAB" w14:textId="29B69107" w:rsidR="00EB50CF" w:rsidRPr="00EB50CF" w:rsidRDefault="00EB50CF" w:rsidP="00EB50CF">
      <w:pPr>
        <w:pStyle w:val="Quote"/>
        <w:rPr>
          <w:rStyle w:val="Strong"/>
        </w:rPr>
      </w:pPr>
      <w:r w:rsidRPr="00EB50CF">
        <w:rPr>
          <w:rStyle w:val="Strong"/>
        </w:rPr>
        <w:t>Alternate Forms of the Pythagorean Identity</w:t>
      </w:r>
    </w:p>
    <w:p w14:paraId="10379B7E" w14:textId="2174A691" w:rsidR="00EB50CF" w:rsidRDefault="00EB50CF" w:rsidP="00EB50CF">
      <w:pPr>
        <w:pStyle w:val="Quote"/>
      </w:pPr>
      <m:oMathPara>
        <m:oMath>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t</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t</m:t>
              </m:r>
            </m:e>
          </m:func>
        </m:oMath>
      </m:oMathPara>
    </w:p>
    <w:p w14:paraId="2F6CA3CE" w14:textId="0CEBCC40" w:rsidR="00EB50CF" w:rsidRDefault="00D7782A" w:rsidP="00EB50CF">
      <w:pPr>
        <w:pStyle w:val="Quote"/>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cot</m:t>
                  </m:r>
                </m:e>
                <m:sup>
                  <m:r>
                    <m:rPr>
                      <m:sty m:val="p"/>
                    </m:rPr>
                    <w:rPr>
                      <w:rFonts w:ascii="Cambria Math" w:hAnsi="Cambria Math"/>
                    </w:rPr>
                    <m:t>2</m:t>
                  </m:r>
                </m:sup>
              </m:sSup>
            </m:fName>
            <m:e>
              <m:r>
                <w:rPr>
                  <w:rFonts w:ascii="Cambria Math" w:hAnsi="Cambria Math"/>
                </w:rPr>
                <m:t>t</m:t>
              </m:r>
            </m:e>
          </m:func>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t</m:t>
              </m:r>
            </m:e>
          </m:func>
        </m:oMath>
      </m:oMathPara>
    </w:p>
    <w:p w14:paraId="1325A3B2" w14:textId="77777777" w:rsidR="00D7782A" w:rsidRDefault="00D7782A">
      <w:pPr>
        <w:spacing w:line="240" w:lineRule="auto"/>
        <w:rPr>
          <w:rStyle w:val="IntenseEmphasis"/>
        </w:rPr>
      </w:pPr>
      <w:r>
        <w:rPr>
          <w:rStyle w:val="IntenseEmphasis"/>
        </w:rPr>
        <w:br w:type="page"/>
      </w:r>
    </w:p>
    <w:p w14:paraId="29B54BAA" w14:textId="6DA94E16" w:rsidR="00EB50CF" w:rsidRPr="00263A77" w:rsidRDefault="00263A77" w:rsidP="00EB50CF">
      <w:pPr>
        <w:rPr>
          <w:rStyle w:val="IntenseEmphasis"/>
        </w:rPr>
      </w:pPr>
      <w:r w:rsidRPr="00263A77">
        <w:rPr>
          <w:rStyle w:val="IntenseEmphasis"/>
        </w:rPr>
        <w:t>Examples</w:t>
      </w:r>
    </w:p>
    <w:p w14:paraId="3859F293" w14:textId="74942445" w:rsidR="00263A77" w:rsidRPr="00263A77" w:rsidRDefault="00263A77" w:rsidP="00D7782A">
      <w:pPr>
        <w:pStyle w:val="ListParagraph"/>
        <w:numPr>
          <w:ilvl w:val="0"/>
          <w:numId w:val="7"/>
        </w:numPr>
        <w:spacing w:after="2400"/>
        <w:contextualSpacing w:val="0"/>
        <w:rPr>
          <w:rFonts w:eastAsiaTheme="minorEastAsia"/>
        </w:rPr>
      </w:pPr>
      <w:r>
        <w:rPr>
          <w:rFonts w:eastAsiaTheme="minorEastAsia"/>
        </w:rPr>
        <w:t xml:space="preserve">If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oMath>
      <w:r>
        <w:rPr>
          <w:rFonts w:eastAsiaTheme="minorEastAsia"/>
        </w:rPr>
        <w:t xml:space="preserve"> and </w:t>
      </w:r>
      <m:oMath>
        <m:r>
          <w:rPr>
            <w:rFonts w:ascii="Cambria Math" w:eastAsiaTheme="minorEastAsia" w:hAnsi="Cambria Math"/>
          </w:rPr>
          <m:t>t</m:t>
        </m:r>
      </m:oMath>
      <w:r>
        <w:rPr>
          <w:rFonts w:eastAsiaTheme="minorEastAsia"/>
        </w:rPr>
        <w:t xml:space="preserve"> is in quadrant IV, find the values of the other five trigonometric functions.</w:t>
      </w:r>
    </w:p>
    <w:p w14:paraId="7B03D7AC" w14:textId="5BFE0EBB" w:rsidR="00B537DA" w:rsidRPr="001150C2" w:rsidRDefault="00263A77" w:rsidP="00D7782A">
      <w:pPr>
        <w:pStyle w:val="ListParagraph"/>
        <w:numPr>
          <w:ilvl w:val="0"/>
          <w:numId w:val="7"/>
        </w:numPr>
        <w:spacing w:after="2400"/>
        <w:contextualSpacing w:val="0"/>
      </w:pPr>
      <w:r>
        <w:t>If sec</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8</m:t>
            </m:r>
          </m:den>
        </m:f>
      </m:oMath>
      <w:r>
        <w:rPr>
          <w:rFonts w:eastAsiaTheme="minorEastAsia"/>
        </w:rPr>
        <w:t xml:space="preserve"> and </w:t>
      </w:r>
      <m:oMath>
        <m:r>
          <w:rPr>
            <w:rFonts w:ascii="Cambria Math" w:eastAsiaTheme="minorEastAsia" w:hAnsi="Cambria Math"/>
          </w:rPr>
          <m:t>0&lt;t&lt;π</m:t>
        </m:r>
      </m:oMath>
      <w:r>
        <w:rPr>
          <w:rFonts w:eastAsiaTheme="minorEastAsia"/>
        </w:rPr>
        <w:t xml:space="preserve">, find the values of the other five functions. </w:t>
      </w:r>
    </w:p>
    <w:p w14:paraId="2311886D" w14:textId="53FF38F9" w:rsidR="007F1265" w:rsidRDefault="007F1265" w:rsidP="00F22BF8">
      <w:pPr>
        <w:pStyle w:val="Heading1"/>
      </w:pPr>
      <w:r>
        <w:t xml:space="preserve">Evaluating </w:t>
      </w:r>
      <w:r w:rsidR="00F22BF8">
        <w:t>Trigonometric</w:t>
      </w:r>
      <w:r>
        <w:t xml:space="preserve"> Functions with a Calculator</w:t>
      </w:r>
    </w:p>
    <w:p w14:paraId="6D8EA4BC" w14:textId="10B7C6DC" w:rsidR="007F1265" w:rsidRDefault="00017D63" w:rsidP="00017D63">
      <w:pPr>
        <w:pStyle w:val="Quote"/>
      </w:pPr>
      <w:r>
        <w:t>Evaluating a tangent function with a graphing calculator is like evaluating a sine or cosine: Enter the value and press the TAN key. For the reciprocal functions, there may not be any dedicated keys that says CSC, SEC, or COT. In that case, the function must be evaluated as the reciprocal of a sine, cosine, or tangent.</w:t>
      </w:r>
      <w:r w:rsidR="008967A4">
        <w:t xml:space="preserve"> Pay attention to the “mode” of the calculator to ensure it corresponds to t</w:t>
      </w:r>
      <w:r w:rsidR="00FF4C2C">
        <w:t>he way the angle is represented (radians or degrees).</w:t>
      </w:r>
    </w:p>
    <w:p w14:paraId="04D06969" w14:textId="587DECE1" w:rsidR="00017D63" w:rsidRDefault="00F4558F">
      <w:pPr>
        <w:spacing w:line="240" w:lineRule="auto"/>
      </w:pPr>
      <w:r w:rsidRPr="00F4558F">
        <w:rPr>
          <w:rStyle w:val="IntenseEmphasis"/>
        </w:rPr>
        <w:t>Examples:</w:t>
      </w:r>
      <w:r>
        <w:t xml:space="preserve"> Evaluate the following functions using a calculator.</w:t>
      </w:r>
    </w:p>
    <w:p w14:paraId="4C2E5177" w14:textId="410448B1" w:rsidR="00FF4C2C" w:rsidRPr="00FF4C2C" w:rsidRDefault="00D7782A" w:rsidP="00D7782A">
      <w:pPr>
        <w:pStyle w:val="ListParagraph"/>
        <w:numPr>
          <w:ilvl w:val="0"/>
          <w:numId w:val="9"/>
        </w:numPr>
        <w:spacing w:after="960" w:line="240" w:lineRule="auto"/>
        <w:contextualSpacing w:val="0"/>
      </w:pPr>
      <m:oMath>
        <m:func>
          <m:funcPr>
            <m:ctrlPr>
              <w:rPr>
                <w:rFonts w:ascii="Cambria Math" w:hAnsi="Cambria Math"/>
                <w:i/>
              </w:rPr>
            </m:ctrlPr>
          </m:funcPr>
          <m:fName>
            <m:r>
              <m:rPr>
                <m:sty m:val="p"/>
              </m:rPr>
              <w:rPr>
                <w:rFonts w:ascii="Cambria Math" w:hAnsi="Cambria Math"/>
              </w:rPr>
              <m:t>sin</m:t>
            </m:r>
          </m:fName>
          <m:e>
            <m:r>
              <w:rPr>
                <w:rFonts w:ascii="Cambria Math" w:hAnsi="Cambria Math"/>
              </w:rPr>
              <m:t>43°</m:t>
            </m:r>
          </m:e>
        </m:func>
      </m:oMath>
    </w:p>
    <w:p w14:paraId="0E7FE894" w14:textId="7554AAEE" w:rsidR="00F4558F" w:rsidRDefault="00D7782A" w:rsidP="00D7782A">
      <w:pPr>
        <w:pStyle w:val="ListParagraph"/>
        <w:numPr>
          <w:ilvl w:val="0"/>
          <w:numId w:val="9"/>
        </w:numPr>
        <w:spacing w:after="960" w:line="240" w:lineRule="auto"/>
        <w:contextualSpacing w:val="0"/>
      </w:pPr>
      <m:oMath>
        <m:func>
          <m:funcPr>
            <m:ctrlPr>
              <w:rPr>
                <w:rFonts w:ascii="Cambria Math" w:hAnsi="Cambria Math"/>
                <w:i/>
              </w:rPr>
            </m:ctrlPr>
          </m:funcPr>
          <m:fName>
            <m:r>
              <m:rPr>
                <m:sty m:val="p"/>
              </m:rPr>
              <w:rPr>
                <w:rFonts w:ascii="Cambria Math" w:hAnsi="Cambria Math"/>
              </w:rPr>
              <m:t>csc</m:t>
            </m:r>
          </m:fName>
          <m:e>
            <m:f>
              <m:fPr>
                <m:ctrlPr>
                  <w:rPr>
                    <w:rFonts w:ascii="Cambria Math" w:hAnsi="Cambria Math"/>
                    <w:i/>
                  </w:rPr>
                </m:ctrlPr>
              </m:fPr>
              <m:num>
                <m:r>
                  <w:rPr>
                    <w:rFonts w:ascii="Cambria Math" w:hAnsi="Cambria Math"/>
                  </w:rPr>
                  <m:t>5π</m:t>
                </m:r>
              </m:num>
              <m:den>
                <m:r>
                  <w:rPr>
                    <w:rFonts w:ascii="Cambria Math" w:hAnsi="Cambria Math"/>
                  </w:rPr>
                  <m:t>9</m:t>
                </m:r>
              </m:den>
            </m:f>
          </m:e>
        </m:func>
      </m:oMath>
    </w:p>
    <w:p w14:paraId="746A570B" w14:textId="6BAFD02E" w:rsidR="00A30B1C" w:rsidRDefault="00D7782A" w:rsidP="00D7782A">
      <w:pPr>
        <w:pStyle w:val="ListParagraph"/>
        <w:numPr>
          <w:ilvl w:val="0"/>
          <w:numId w:val="9"/>
        </w:numPr>
        <w:spacing w:after="960" w:line="240" w:lineRule="auto"/>
        <w:contextualSpacing w:val="0"/>
      </w:pPr>
      <m:oMath>
        <m:func>
          <m:funcPr>
            <m:ctrlPr>
              <w:rPr>
                <w:rFonts w:ascii="Cambria Math" w:hAnsi="Cambria Math"/>
                <w:i/>
              </w:rPr>
            </m:ctrlPr>
          </m:funcPr>
          <m:fName>
            <m:r>
              <m:rPr>
                <m:sty m:val="p"/>
              </m:rPr>
              <w:rPr>
                <w:rFonts w:ascii="Cambria Math" w:hAnsi="Cambria Math"/>
              </w:rPr>
              <m:t>sec</m:t>
            </m:r>
          </m:fName>
          <m:e>
            <m:f>
              <m:fPr>
                <m:ctrlPr>
                  <w:rPr>
                    <w:rFonts w:ascii="Cambria Math" w:hAnsi="Cambria Math"/>
                    <w:i/>
                  </w:rPr>
                </m:ctrlPr>
              </m:fPr>
              <m:num>
                <m:r>
                  <w:rPr>
                    <w:rFonts w:ascii="Cambria Math" w:hAnsi="Cambria Math"/>
                  </w:rPr>
                  <m:t>3π</m:t>
                </m:r>
              </m:num>
              <m:den>
                <m:r>
                  <w:rPr>
                    <w:rFonts w:ascii="Cambria Math" w:hAnsi="Cambria Math"/>
                  </w:rPr>
                  <m:t>4</m:t>
                </m:r>
              </m:den>
            </m:f>
          </m:e>
        </m:func>
      </m:oMath>
      <w:bookmarkStart w:id="0" w:name="_GoBack"/>
      <w:bookmarkEnd w:id="0"/>
    </w:p>
    <w:p w14:paraId="767D291E" w14:textId="5812FDC4" w:rsidR="007F1265" w:rsidRPr="007F1265" w:rsidRDefault="00D7782A" w:rsidP="00D7782A">
      <w:pPr>
        <w:pStyle w:val="ListParagraph"/>
        <w:numPr>
          <w:ilvl w:val="0"/>
          <w:numId w:val="9"/>
        </w:numPr>
        <w:spacing w:after="960" w:line="240" w:lineRule="auto"/>
        <w:contextualSpacing w:val="0"/>
      </w:pPr>
      <m:oMath>
        <m:func>
          <m:funcPr>
            <m:ctrlPr>
              <w:rPr>
                <w:rFonts w:ascii="Cambria Math" w:hAnsi="Cambria Math"/>
                <w:i/>
              </w:rPr>
            </m:ctrlPr>
          </m:funcPr>
          <m:fName>
            <m:r>
              <m:rPr>
                <m:sty m:val="p"/>
              </m:rPr>
              <w:rPr>
                <w:rFonts w:ascii="Cambria Math" w:hAnsi="Cambria Math"/>
              </w:rPr>
              <m:t>cot</m:t>
            </m:r>
          </m:fName>
          <m:e>
            <m:r>
              <w:rPr>
                <w:rFonts w:ascii="Cambria Math" w:hAnsi="Cambria Math"/>
              </w:rPr>
              <m:t>140°</m:t>
            </m:r>
          </m:e>
        </m:func>
      </m:oMath>
    </w:p>
    <w:sectPr w:rsidR="007F1265" w:rsidRPr="007F1265" w:rsidSect="00EF6E75">
      <w:headerReference w:type="default" r:id="rId13"/>
      <w:footerReference w:type="default" r:id="rId14"/>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AD488D" w16cid:durableId="234AF809"/>
  <w16cid:commentId w16cid:paraId="28D8D9F0" w16cid:durableId="234AF8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FA0E1" w14:textId="77777777" w:rsidR="005A5F69" w:rsidRDefault="005A5F69" w:rsidP="00EF6E75">
      <w:r>
        <w:separator/>
      </w:r>
    </w:p>
  </w:endnote>
  <w:endnote w:type="continuationSeparator" w:id="0">
    <w:p w14:paraId="14AA080B" w14:textId="77777777" w:rsidR="005A5F69" w:rsidRDefault="005A5F69" w:rsidP="00EF6E75">
      <w:r>
        <w:continuationSeparator/>
      </w:r>
    </w:p>
  </w:endnote>
  <w:endnote w:type="continuationNotice" w:id="1">
    <w:p w14:paraId="4BE1FA62" w14:textId="77777777" w:rsidR="005A5F69" w:rsidRDefault="005A5F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algun Gothic Semilight"/>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F3AF5" w14:textId="003575D2" w:rsidR="1CAFD71F" w:rsidRDefault="00292CA0" w:rsidP="00DE3424">
    <w:r w:rsidRPr="00825E61">
      <w:rPr>
        <w:b/>
        <w:bCs/>
        <w:noProof/>
        <w:sz w:val="32"/>
        <w:szCs w:val="32"/>
        <w:lang w:eastAsia="zh-TW"/>
      </w:rPr>
      <mc:AlternateContent>
        <mc:Choice Requires="wps">
          <w:drawing>
            <wp:anchor distT="0" distB="0" distL="114300" distR="114300" simplePos="0" relativeHeight="251658242"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7CA2B66D" w:rsidR="00292CA0" w:rsidRDefault="005C4283" w:rsidP="00292CA0">
                          <w:pPr>
                            <w:jc w:val="center"/>
                          </w:pPr>
                          <w:r>
                            <w:t>Pre-Calculus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823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7CA2B66D" w:rsidR="00292CA0" w:rsidRDefault="005C4283"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58243"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58243;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283E7" w14:textId="77777777" w:rsidR="005A5F69" w:rsidRDefault="005A5F69" w:rsidP="00EF6E75">
      <w:r>
        <w:separator/>
      </w:r>
    </w:p>
  </w:footnote>
  <w:footnote w:type="continuationSeparator" w:id="0">
    <w:p w14:paraId="25243409" w14:textId="77777777" w:rsidR="005A5F69" w:rsidRDefault="005A5F69" w:rsidP="00EF6E75">
      <w:r>
        <w:continuationSeparator/>
      </w:r>
    </w:p>
  </w:footnote>
  <w:footnote w:type="continuationNotice" w:id="1">
    <w:p w14:paraId="3646D0C4" w14:textId="77777777" w:rsidR="005A5F69" w:rsidRDefault="005A5F6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1B86A409"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8240"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58241"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BA7302"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EC4B92">
      <w:rPr>
        <w:b/>
        <w:bCs/>
        <w:sz w:val="40"/>
        <w:szCs w:val="40"/>
      </w:rPr>
      <w:t>The Other Trigonometric Functions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0D56"/>
    <w:multiLevelType w:val="hybridMultilevel"/>
    <w:tmpl w:val="BB82E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B5AAD"/>
    <w:multiLevelType w:val="hybridMultilevel"/>
    <w:tmpl w:val="476C6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05443"/>
    <w:multiLevelType w:val="hybridMultilevel"/>
    <w:tmpl w:val="1722B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E05D1"/>
    <w:multiLevelType w:val="hybridMultilevel"/>
    <w:tmpl w:val="559A65FC"/>
    <w:lvl w:ilvl="0" w:tplc="483ED1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11CD4"/>
    <w:multiLevelType w:val="hybridMultilevel"/>
    <w:tmpl w:val="448A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A3CCE"/>
    <w:multiLevelType w:val="hybridMultilevel"/>
    <w:tmpl w:val="559A65FC"/>
    <w:lvl w:ilvl="0" w:tplc="483ED1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466F8"/>
    <w:multiLevelType w:val="hybridMultilevel"/>
    <w:tmpl w:val="C0ECB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570BCE"/>
    <w:multiLevelType w:val="hybridMultilevel"/>
    <w:tmpl w:val="407C5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4"/>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46B"/>
    <w:rsid w:val="00017D63"/>
    <w:rsid w:val="00022BA5"/>
    <w:rsid w:val="00030C28"/>
    <w:rsid w:val="00035E27"/>
    <w:rsid w:val="00051B6B"/>
    <w:rsid w:val="00083968"/>
    <w:rsid w:val="00090FE7"/>
    <w:rsid w:val="000A3E3B"/>
    <w:rsid w:val="000B67BD"/>
    <w:rsid w:val="000D7A6D"/>
    <w:rsid w:val="000E320D"/>
    <w:rsid w:val="000E46E0"/>
    <w:rsid w:val="00102B9B"/>
    <w:rsid w:val="001150C2"/>
    <w:rsid w:val="00120E7F"/>
    <w:rsid w:val="00143085"/>
    <w:rsid w:val="001515E8"/>
    <w:rsid w:val="00161BFC"/>
    <w:rsid w:val="00172299"/>
    <w:rsid w:val="002066F4"/>
    <w:rsid w:val="0025764A"/>
    <w:rsid w:val="00263A77"/>
    <w:rsid w:val="00277A30"/>
    <w:rsid w:val="00292CA0"/>
    <w:rsid w:val="002C5385"/>
    <w:rsid w:val="00350736"/>
    <w:rsid w:val="0036232A"/>
    <w:rsid w:val="00386F88"/>
    <w:rsid w:val="003936D0"/>
    <w:rsid w:val="0043113B"/>
    <w:rsid w:val="00442293"/>
    <w:rsid w:val="004554E1"/>
    <w:rsid w:val="004E372A"/>
    <w:rsid w:val="005068E5"/>
    <w:rsid w:val="00573E8D"/>
    <w:rsid w:val="005A5F69"/>
    <w:rsid w:val="005B3B02"/>
    <w:rsid w:val="005B486E"/>
    <w:rsid w:val="005C4283"/>
    <w:rsid w:val="005F273C"/>
    <w:rsid w:val="00624BA7"/>
    <w:rsid w:val="006359EF"/>
    <w:rsid w:val="00677313"/>
    <w:rsid w:val="00773BD1"/>
    <w:rsid w:val="007914C3"/>
    <w:rsid w:val="007B3EFF"/>
    <w:rsid w:val="007F1265"/>
    <w:rsid w:val="00825E61"/>
    <w:rsid w:val="008967A4"/>
    <w:rsid w:val="009A23F9"/>
    <w:rsid w:val="00A30B1C"/>
    <w:rsid w:val="00A43D54"/>
    <w:rsid w:val="00A4440F"/>
    <w:rsid w:val="00A61190"/>
    <w:rsid w:val="00A611CB"/>
    <w:rsid w:val="00AB3842"/>
    <w:rsid w:val="00AE5C90"/>
    <w:rsid w:val="00B160FA"/>
    <w:rsid w:val="00B27BF5"/>
    <w:rsid w:val="00B537DA"/>
    <w:rsid w:val="00B87DEB"/>
    <w:rsid w:val="00BE703A"/>
    <w:rsid w:val="00BF6B20"/>
    <w:rsid w:val="00CE0BB3"/>
    <w:rsid w:val="00D55E98"/>
    <w:rsid w:val="00D7782A"/>
    <w:rsid w:val="00DB39E3"/>
    <w:rsid w:val="00DE3424"/>
    <w:rsid w:val="00DF0803"/>
    <w:rsid w:val="00E25FDC"/>
    <w:rsid w:val="00E356A9"/>
    <w:rsid w:val="00EB50CF"/>
    <w:rsid w:val="00EC4B92"/>
    <w:rsid w:val="00EF6E75"/>
    <w:rsid w:val="00F130C8"/>
    <w:rsid w:val="00F22BF8"/>
    <w:rsid w:val="00F26C33"/>
    <w:rsid w:val="00F4558F"/>
    <w:rsid w:val="00FD7B9E"/>
    <w:rsid w:val="00FE7FAA"/>
    <w:rsid w:val="00FF4C2C"/>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624B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677313"/>
    <w:rPr>
      <w:color w:val="808080"/>
    </w:rPr>
  </w:style>
  <w:style w:type="character" w:styleId="CommentReference">
    <w:name w:val="annotation reference"/>
    <w:basedOn w:val="DefaultParagraphFont"/>
    <w:uiPriority w:val="99"/>
    <w:semiHidden/>
    <w:unhideWhenUsed/>
    <w:rsid w:val="00030C28"/>
    <w:rPr>
      <w:sz w:val="16"/>
      <w:szCs w:val="16"/>
    </w:rPr>
  </w:style>
  <w:style w:type="paragraph" w:styleId="CommentText">
    <w:name w:val="annotation text"/>
    <w:basedOn w:val="Normal"/>
    <w:link w:val="CommentTextChar"/>
    <w:uiPriority w:val="99"/>
    <w:semiHidden/>
    <w:unhideWhenUsed/>
    <w:rsid w:val="00030C28"/>
    <w:pPr>
      <w:spacing w:line="240" w:lineRule="auto"/>
    </w:pPr>
    <w:rPr>
      <w:sz w:val="20"/>
      <w:szCs w:val="20"/>
    </w:rPr>
  </w:style>
  <w:style w:type="character" w:customStyle="1" w:styleId="CommentTextChar">
    <w:name w:val="Comment Text Char"/>
    <w:basedOn w:val="DefaultParagraphFont"/>
    <w:link w:val="CommentText"/>
    <w:uiPriority w:val="99"/>
    <w:semiHidden/>
    <w:rsid w:val="00030C28"/>
    <w:rPr>
      <w:sz w:val="20"/>
      <w:szCs w:val="20"/>
    </w:rPr>
  </w:style>
  <w:style w:type="paragraph" w:styleId="CommentSubject">
    <w:name w:val="annotation subject"/>
    <w:basedOn w:val="CommentText"/>
    <w:next w:val="CommentText"/>
    <w:link w:val="CommentSubjectChar"/>
    <w:uiPriority w:val="99"/>
    <w:semiHidden/>
    <w:unhideWhenUsed/>
    <w:rsid w:val="00030C28"/>
    <w:rPr>
      <w:b/>
      <w:bCs/>
    </w:rPr>
  </w:style>
  <w:style w:type="character" w:customStyle="1" w:styleId="CommentSubjectChar">
    <w:name w:val="Comment Subject Char"/>
    <w:basedOn w:val="CommentTextChar"/>
    <w:link w:val="CommentSubject"/>
    <w:uiPriority w:val="99"/>
    <w:semiHidden/>
    <w:rsid w:val="00030C28"/>
    <w:rPr>
      <w:b/>
      <w:bCs/>
      <w:sz w:val="20"/>
      <w:szCs w:val="20"/>
    </w:rPr>
  </w:style>
  <w:style w:type="character" w:customStyle="1" w:styleId="Heading2Char">
    <w:name w:val="Heading 2 Char"/>
    <w:basedOn w:val="DefaultParagraphFont"/>
    <w:link w:val="Heading2"/>
    <w:uiPriority w:val="9"/>
    <w:rsid w:val="00624B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2.xml><?xml version="1.0" encoding="utf-8"?>
<ds:datastoreItem xmlns:ds="http://schemas.openxmlformats.org/officeDocument/2006/customXml" ds:itemID="{F634DD36-E155-4723-A613-FF85B7F86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FFDAF1-0B5C-446F-9427-1401629F9B43}">
  <ds:schemaRefs>
    <ds:schemaRef ds:uri="http://schemas.microsoft.com/office/2006/documentManagement/types"/>
    <ds:schemaRef ds:uri="http://purl.org/dc/elements/1.1/"/>
    <ds:schemaRef ds:uri="8c222443-d295-4ed9-b50b-c0887899d137"/>
    <ds:schemaRef ds:uri="http://purl.org/dc/dcmitype/"/>
    <ds:schemaRef ds:uri="http://schemas.microsoft.com/office/2006/metadata/properties"/>
    <ds:schemaRef ds:uri="http://schemas.microsoft.com/office/infopath/2007/PartnerControls"/>
    <ds:schemaRef ds:uri="58a657bd-954d-47e9-a834-f04f5ee8a359"/>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28</cp:revision>
  <cp:lastPrinted>2020-05-10T03:25:00Z</cp:lastPrinted>
  <dcterms:created xsi:type="dcterms:W3CDTF">2020-10-24T00:33:00Z</dcterms:created>
  <dcterms:modified xsi:type="dcterms:W3CDTF">2020-11-07T03:46:00Z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