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165B" w14:textId="4283264C" w:rsidR="00DA65FE" w:rsidRDefault="00CC6109" w:rsidP="00490AFD">
      <w:pPr>
        <w:spacing w:after="0" w:line="240" w:lineRule="auto"/>
        <w:rPr>
          <w:rFonts w:ascii="Times New Roman" w:eastAsia="Times New Roman" w:hAnsi="Times New Roman" w:cs="Times New Roman"/>
          <w:bCs/>
        </w:rPr>
      </w:pPr>
      <w:r w:rsidRPr="009D7BFF">
        <w:rPr>
          <w:rFonts w:ascii="Times New Roman" w:eastAsia="Times New Roman" w:hAnsi="Times New Roman" w:cs="Times New Roman"/>
          <w:bCs/>
        </w:rPr>
        <w:t>УДК 616-053.2:004.8</w:t>
      </w:r>
    </w:p>
    <w:p w14:paraId="731D9FA5" w14:textId="77777777" w:rsidR="00DA65FE" w:rsidRPr="00DA65FE" w:rsidRDefault="00DA65FE" w:rsidP="00490AFD">
      <w:pPr>
        <w:spacing w:after="0" w:line="240" w:lineRule="auto"/>
        <w:rPr>
          <w:rFonts w:ascii="Times New Roman" w:eastAsia="Times New Roman" w:hAnsi="Times New Roman" w:cs="Times New Roman"/>
          <w:bCs/>
        </w:rPr>
      </w:pPr>
    </w:p>
    <w:p w14:paraId="7C705C8A" w14:textId="77777777" w:rsidR="005B6402" w:rsidRDefault="005B6402" w:rsidP="00490AFD">
      <w:pPr>
        <w:spacing w:after="0" w:line="240" w:lineRule="auto"/>
        <w:jc w:val="center"/>
        <w:rPr>
          <w:rFonts w:ascii="Times New Roman" w:eastAsia="Times New Roman" w:hAnsi="Times New Roman" w:cs="Times New Roman"/>
          <w:b/>
          <w:bCs/>
          <w:caps/>
        </w:rPr>
      </w:pPr>
      <w:r w:rsidRPr="009D7BFF">
        <w:rPr>
          <w:rFonts w:ascii="Times New Roman" w:eastAsia="Times New Roman" w:hAnsi="Times New Roman" w:cs="Times New Roman"/>
          <w:b/>
          <w:bCs/>
          <w:caps/>
        </w:rPr>
        <w:t>Анализ внедрения технологий искусственного интеллекта в отечественную педиатрическую практику</w:t>
      </w:r>
    </w:p>
    <w:p w14:paraId="6F5050EB" w14:textId="77777777" w:rsidR="00DA65FE" w:rsidRPr="009D7BFF" w:rsidRDefault="00DA65FE" w:rsidP="00490AFD">
      <w:pPr>
        <w:spacing w:after="0" w:line="240" w:lineRule="auto"/>
        <w:jc w:val="center"/>
        <w:rPr>
          <w:rFonts w:ascii="Times New Roman" w:hAnsi="Times New Roman" w:cs="Times New Roman"/>
          <w:b/>
          <w:bCs/>
          <w:caps/>
        </w:rPr>
      </w:pPr>
    </w:p>
    <w:p w14:paraId="350753B3" w14:textId="77777777" w:rsidR="0054189F" w:rsidRDefault="008060A1" w:rsidP="00490AFD">
      <w:pPr>
        <w:spacing w:after="0" w:line="240" w:lineRule="auto"/>
        <w:jc w:val="center"/>
        <w:rPr>
          <w:rFonts w:ascii="Times New Roman" w:eastAsia="Times New Roman" w:hAnsi="Times New Roman" w:cs="Times New Roman"/>
        </w:rPr>
      </w:pPr>
      <w:r w:rsidRPr="009D7BFF">
        <w:rPr>
          <w:rFonts w:ascii="Times New Roman" w:eastAsia="Times New Roman" w:hAnsi="Times New Roman" w:cs="Times New Roman"/>
        </w:rPr>
        <w:t>И.С. Черкасов</w:t>
      </w:r>
      <w:r w:rsidRPr="009D7BFF">
        <w:rPr>
          <w:rFonts w:ascii="Times New Roman" w:eastAsia="Times New Roman" w:hAnsi="Times New Roman" w:cs="Times New Roman"/>
          <w:vertAlign w:val="superscript"/>
        </w:rPr>
        <w:t>1</w:t>
      </w:r>
      <w:r w:rsidRPr="009D7BFF">
        <w:rPr>
          <w:rFonts w:ascii="Times New Roman" w:eastAsia="Times New Roman" w:hAnsi="Times New Roman" w:cs="Times New Roman"/>
        </w:rPr>
        <w:t>, студент 1-го курса, Г.Е. Бордина</w:t>
      </w:r>
      <w:r w:rsidRPr="009D7BFF">
        <w:rPr>
          <w:rFonts w:ascii="Times New Roman" w:eastAsia="Times New Roman" w:hAnsi="Times New Roman" w:cs="Times New Roman"/>
          <w:vertAlign w:val="superscript"/>
        </w:rPr>
        <w:t>2</w:t>
      </w:r>
      <w:r w:rsidRPr="009D7BFF">
        <w:rPr>
          <w:rFonts w:ascii="Times New Roman" w:eastAsia="Times New Roman" w:hAnsi="Times New Roman" w:cs="Times New Roman"/>
        </w:rPr>
        <w:t>, доцент, Н.П. Лопина</w:t>
      </w:r>
      <w:r w:rsidRPr="009D7BFF">
        <w:rPr>
          <w:rFonts w:ascii="Times New Roman" w:eastAsia="Times New Roman" w:hAnsi="Times New Roman" w:cs="Times New Roman"/>
          <w:vertAlign w:val="superscript"/>
        </w:rPr>
        <w:t>3</w:t>
      </w:r>
      <w:r w:rsidRPr="009D7BFF">
        <w:rPr>
          <w:rFonts w:ascii="Times New Roman" w:eastAsia="Times New Roman" w:hAnsi="Times New Roman" w:cs="Times New Roman"/>
        </w:rPr>
        <w:t>, профессор</w:t>
      </w:r>
    </w:p>
    <w:p w14:paraId="4E134C6E" w14:textId="77777777" w:rsidR="00DA65FE" w:rsidRPr="009D7BFF" w:rsidRDefault="00DA65FE" w:rsidP="00490AFD">
      <w:pPr>
        <w:spacing w:after="0" w:line="240" w:lineRule="auto"/>
        <w:jc w:val="center"/>
        <w:rPr>
          <w:rFonts w:ascii="Times New Roman" w:hAnsi="Times New Roman" w:cs="Times New Roman"/>
        </w:rPr>
      </w:pPr>
    </w:p>
    <w:p w14:paraId="7522C6D3" w14:textId="77777777" w:rsidR="0054189F"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i/>
          <w:iCs/>
          <w:vertAlign w:val="superscript"/>
        </w:rPr>
        <w:t>1</w:t>
      </w:r>
      <w:r w:rsidRPr="009D7BFF">
        <w:rPr>
          <w:rFonts w:ascii="Times New Roman" w:eastAsia="Times New Roman" w:hAnsi="Times New Roman" w:cs="Times New Roman"/>
          <w:i/>
          <w:iCs/>
        </w:rPr>
        <w:t xml:space="preserve"> ФГБОУ ВО Тверской ГМУ Минздрава России, педиатрический факультет, ул. Советская 4, Тверь, 170100, Россия; e-mail: reqests@yandex.ru</w:t>
      </w:r>
    </w:p>
    <w:p w14:paraId="523293D2" w14:textId="77777777" w:rsidR="0054189F"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i/>
          <w:iCs/>
          <w:vertAlign w:val="superscript"/>
        </w:rPr>
        <w:t>2</w:t>
      </w:r>
      <w:r w:rsidRPr="009D7BFF">
        <w:rPr>
          <w:rFonts w:ascii="Times New Roman" w:eastAsia="Times New Roman" w:hAnsi="Times New Roman" w:cs="Times New Roman"/>
          <w:i/>
          <w:iCs/>
        </w:rPr>
        <w:t xml:space="preserve"> ФГБОУ ВО Тверской ГМУ Минздрава России, кафедра химии, ул. Советская 4, Тверь, 170100, Россия; e-mail: gbordina@yandex.ru</w:t>
      </w:r>
    </w:p>
    <w:p w14:paraId="795DD333" w14:textId="5BD7FA0D" w:rsidR="0054189F" w:rsidRDefault="008060A1" w:rsidP="00490AFD">
      <w:pPr>
        <w:spacing w:after="0" w:line="240" w:lineRule="auto"/>
        <w:jc w:val="center"/>
        <w:rPr>
          <w:rFonts w:ascii="Times New Roman" w:eastAsia="Times New Roman" w:hAnsi="Times New Roman" w:cs="Times New Roman"/>
          <w:i/>
          <w:iCs/>
        </w:rPr>
      </w:pPr>
      <w:r w:rsidRPr="009D7BFF">
        <w:rPr>
          <w:rFonts w:ascii="Times New Roman" w:eastAsia="Times New Roman" w:hAnsi="Times New Roman" w:cs="Times New Roman"/>
          <w:i/>
          <w:iCs/>
          <w:vertAlign w:val="superscript"/>
        </w:rPr>
        <w:t>3</w:t>
      </w:r>
      <w:r w:rsidRPr="009D7BFF">
        <w:rPr>
          <w:rFonts w:ascii="Times New Roman" w:eastAsia="Times New Roman" w:hAnsi="Times New Roman" w:cs="Times New Roman"/>
          <w:i/>
          <w:iCs/>
        </w:rPr>
        <w:t xml:space="preserve"> ФГБОУ ВО Тверской ГМУ Минздрава России, кафедра химии, ул. Советская 4, Тверь, 170100, Россия; e-mail: </w:t>
      </w:r>
      <w:hyperlink r:id="rId7" w:history="1">
        <w:r w:rsidR="00DA65FE" w:rsidRPr="00087C19">
          <w:rPr>
            <w:rStyle w:val="ac"/>
            <w:rFonts w:ascii="Times New Roman" w:eastAsia="Times New Roman" w:hAnsi="Times New Roman" w:cs="Times New Roman"/>
            <w:i/>
            <w:iCs/>
          </w:rPr>
          <w:t>n.lopina@internet.ru</w:t>
        </w:r>
      </w:hyperlink>
    </w:p>
    <w:p w14:paraId="0251E25C" w14:textId="77777777" w:rsidR="00DA65FE" w:rsidRPr="009D7BFF" w:rsidRDefault="00DA65FE" w:rsidP="00490AFD">
      <w:pPr>
        <w:spacing w:after="0" w:line="240" w:lineRule="auto"/>
        <w:jc w:val="center"/>
        <w:rPr>
          <w:rFonts w:ascii="Times New Roman" w:hAnsi="Times New Roman" w:cs="Times New Roman"/>
        </w:rPr>
      </w:pPr>
    </w:p>
    <w:p w14:paraId="7D9B1829" w14:textId="77777777" w:rsidR="005B6402" w:rsidRPr="009D7BFF" w:rsidRDefault="005B6402" w:rsidP="00490AFD">
      <w:pPr>
        <w:spacing w:after="0" w:line="240" w:lineRule="auto"/>
        <w:ind w:firstLine="709"/>
        <w:jc w:val="both"/>
        <w:rPr>
          <w:rFonts w:ascii="Times New Roman" w:hAnsi="Times New Roman" w:cs="Times New Roman"/>
          <w:i/>
          <w:iCs/>
        </w:rPr>
      </w:pPr>
      <w:r w:rsidRPr="009D7BFF">
        <w:rPr>
          <w:rFonts w:ascii="Times New Roman" w:eastAsia="Times New Roman" w:hAnsi="Times New Roman" w:cs="Times New Roman"/>
        </w:rPr>
        <w:t>Аннотация. Систематизирован отечественный опыт применения технологий искусственного интеллекта (ИИ) в педиатрии и неонатологии. На основе анализа 27 публикаций, официальных материалов и данных государственного реестра Росздравнадзора рассмотрены заявленные клинические характеристики, правовой статус и ограничения программных решений. Основные отечественные разработки сосредоточены в области анализа медицинских снимков (определение костного возраста по рентгенограммам, оценка глазного дна при ретинопатии) и автоматического прогнозирования патологий по электронным медицинским картам. Для большинства рассмотренных отечественных решений в доступных материалах отсутствуют результаты независимой клинической валидации; часть систем находится на стадии разработки или пилотного тестирования. Ключевыми барьерами для внедрения ИИ в педиатрическую практику выступают малый объем обучающих выборок, риск потери точности из-за «сдвига данных» при смене оборудования, а также дефицит долгосрочных наблюдений за результатами лечения детей.</w:t>
      </w:r>
    </w:p>
    <w:p w14:paraId="41FACAD1" w14:textId="77777777" w:rsidR="005B6402" w:rsidRPr="009D7BFF" w:rsidRDefault="005B6402" w:rsidP="00490AFD">
      <w:pPr>
        <w:spacing w:after="0" w:line="240" w:lineRule="auto"/>
        <w:ind w:firstLine="709"/>
        <w:jc w:val="both"/>
        <w:rPr>
          <w:rFonts w:ascii="Times New Roman" w:hAnsi="Times New Roman" w:cs="Times New Roman"/>
          <w:i/>
          <w:iCs/>
        </w:rPr>
      </w:pPr>
      <w:r w:rsidRPr="009D7BFF">
        <w:rPr>
          <w:rFonts w:ascii="Times New Roman" w:eastAsia="Times New Roman" w:hAnsi="Times New Roman" w:cs="Times New Roman"/>
        </w:rPr>
        <w:t>Ключевые слова: искусственный интеллект, педиатрия, неонатология, компьютерное зрение, анализ снимков, электронная медицинская карта, регулирование, качество данных</w:t>
      </w:r>
    </w:p>
    <w:p w14:paraId="4D437962" w14:textId="77777777" w:rsidR="000D7718"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b/>
        </w:rPr>
        <w:t>ВВЕДЕНИЕ</w:t>
      </w:r>
    </w:p>
    <w:p w14:paraId="30948D0E"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Сегодня внедрение компьютерных программ на базе искусственного интеллекта (ИИ) в медицину развивается стремительно по всему миру. Нейросети демонстрируют высокие результаты при анализе рентгеновских снимков, томограмм и фотографий в отдельных клинических задачах, однако эти результаты зависят от конкретной задачи и набора данных. Однако подавляющее большинство таких систем создавалось и обучалось на данных взрослых пациентов. Их прямое использование в лечении детей сильно ограничено. Это связано с тем, что включение детей в исследования новых технологий требует соблюдения дополнительных правовых и этических процедур, что может осложнять формирование педиатрических выборок. Кроме того, существует острая нехватка готовых детских медицинских снимков для обучения ИИ, а сам организм ребенка сильно меняется в процессе роста, что ограничивает прямой перенос алгоритмов, разработанных на данных взрослых пациентов, в педиатрическую практику [1, 2].</w:t>
      </w:r>
    </w:p>
    <w:p w14:paraId="4DF40D81"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В нашей стране этот процесс активно развивается в рамках государственного проекта «Здравоохранение» и создания Единой государственной информационной системы (ЕГИСЗ), направленной на развитие единого информационного контура здравоохранения и интеграцию медицинских информационных систем. По данным Минздрава РФ, применение программ медицинского назначения с функциями ИИ </w:t>
      </w:r>
      <w:r w:rsidRPr="009D7BFF">
        <w:rPr>
          <w:rFonts w:ascii="Times New Roman" w:eastAsia="Times New Roman" w:hAnsi="Times New Roman" w:cs="Times New Roman"/>
        </w:rPr>
        <w:lastRenderedPageBreak/>
        <w:t>активно расширяется, а информационные системы поддержки принятия врачебных решений на базе ИИ отнесены к ключевым направлениям технологического развития отрасли [3]. При этом доступных публикаций с независимой количественной оценкой эффективности таких программ на российских детских выборках немного [26].</w:t>
      </w:r>
    </w:p>
    <w:p w14:paraId="26B6E947"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Сложность обучения искусственного интеллекта для детских врачей объясняется тремя </w:t>
      </w:r>
      <w:r w:rsidR="00837A3A" w:rsidRPr="009D7BFF">
        <w:rPr>
          <w:rFonts w:ascii="Times New Roman" w:eastAsia="Times New Roman" w:hAnsi="Times New Roman" w:cs="Times New Roman"/>
        </w:rPr>
        <w:t>основными</w:t>
      </w:r>
      <w:r w:rsidRPr="009D7BFF">
        <w:rPr>
          <w:rFonts w:ascii="Times New Roman" w:eastAsia="Times New Roman" w:hAnsi="Times New Roman" w:cs="Times New Roman"/>
        </w:rPr>
        <w:t xml:space="preserve"> причинами:</w:t>
      </w:r>
    </w:p>
    <w:p w14:paraId="52201359" w14:textId="77777777" w:rsidR="005B6402" w:rsidRPr="009D7BFF" w:rsidRDefault="005B6402" w:rsidP="00490AFD">
      <w:pPr>
        <w:numPr>
          <w:ilvl w:val="0"/>
          <w:numId w:val="3"/>
        </w:num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Постоянный рост и развитие ребенка. Изменения пропорций тела, структуры костей и органов происходят непрерывно от рождения до 18 лет. Программы, обученные преимущественно на снимках взрослых пациентов, могут демонстрировать более низкую точность при анализе детских снимков без дополнительной проверки и адаптации [5].</w:t>
      </w:r>
    </w:p>
    <w:p w14:paraId="33930CE8" w14:textId="77777777" w:rsidR="005B6402" w:rsidRPr="009D7BFF" w:rsidRDefault="005B6402" w:rsidP="00490AFD">
      <w:pPr>
        <w:numPr>
          <w:ilvl w:val="0"/>
          <w:numId w:val="3"/>
        </w:num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Редкость тяжелых заболеваний. Многие опасные болезни у детей (например, онкологические патологии или врожденные пороки) могут встречаться реже, чем у взрослых. Это может затруднять формирование достаточных и репрезентативных наборов данных для обучения и проверки таких систем [5].</w:t>
      </w:r>
    </w:p>
    <w:p w14:paraId="2B62F660" w14:textId="77777777" w:rsidR="005B6402" w:rsidRPr="009D7BFF" w:rsidRDefault="005B6402" w:rsidP="00490AFD">
      <w:pPr>
        <w:numPr>
          <w:ilvl w:val="0"/>
          <w:numId w:val="3"/>
        </w:num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Строгие юридические и этические правила. Использование медицинских данных детей для научных исследований и обучения компьютерных программ связано с дополнительными правовыми и этическими требованиями. Это может ограничивать доступ к педиатрическим данным и усложнять формирование исследовательских выборок [4, 8].</w:t>
      </w:r>
    </w:p>
    <w:p w14:paraId="0E928F67"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Цель работы заключается в систематизации клинически и технически значимых достижений отечественной науки здравоохранения, связанных с ИИ-технологиями в области педиатрии, а также в выявлении соответствующих проблем.</w:t>
      </w:r>
    </w:p>
    <w:p w14:paraId="279423AF" w14:textId="77777777" w:rsidR="000D7718"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b/>
        </w:rPr>
        <w:t>МАТЕРИАЛЫ И МЕТОДЫ</w:t>
      </w:r>
    </w:p>
    <w:p w14:paraId="7929AC10"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Для ориентировочного обзора использовался поиск научных публикаций и официальных материалов за период с 1 января 2019 года по 17 июня 2026 года в электронных базах данных: российской eLibrary (включая РИНЦ), КиберЛенинке, а также международных PubMed/MEDLINE и Scopus. Поисковые запросы строились на основе сочетания слов: «искусственный интеллект» (artificial intelligence), «машинное обучение» (machine learning), «нейросети» (neural networks), «педиатрия» (pediatrics), «новорожденные» (neonates), «Россия» (Russia) и их синонимов. Дополнительно изучался Государственный реестр медицинских изделий Росздравнадзора для оценки юридического статуса программ. QUADAS-2 и Ньюкасл–Оттавская шкала были рассмотрены как инструменты оценки качества соответствующих типов исследований; детализированные результаты такой оценки в настоящем обзоре не представлены [10, 11].</w:t>
      </w:r>
    </w:p>
    <w:p w14:paraId="4EBAEA8E" w14:textId="77777777" w:rsidR="000D7718"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b/>
        </w:rPr>
        <w:t>РЕЗУЛЬТАТЫ ИССЛЕДОВАНИЯ</w:t>
      </w:r>
    </w:p>
    <w:p w14:paraId="73C53674" w14:textId="35236C75" w:rsidR="003E71E7"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В анализ были включены восемь отечественных или связанных с отечественными разработчиками решений, для которых в доступных публикациях и официальных материалах описаны разработка, тестирование либо предполагаемые направления применения в педиатрии. Краткое описание этих решений приведено в таблице 1.</w:t>
      </w:r>
    </w:p>
    <w:p w14:paraId="7BC44F4E" w14:textId="63D4F172" w:rsidR="005B6402" w:rsidRPr="009D7BFF" w:rsidRDefault="003E71E7" w:rsidP="00490AFD">
      <w:pPr>
        <w:spacing w:after="0" w:line="240" w:lineRule="auto"/>
        <w:rPr>
          <w:rFonts w:ascii="Times New Roman" w:hAnsi="Times New Roman" w:cs="Times New Roman"/>
        </w:rPr>
      </w:pPr>
      <w:r w:rsidRPr="009D7BFF">
        <w:rPr>
          <w:rFonts w:ascii="Times New Roman" w:eastAsia="Times New Roman" w:hAnsi="Times New Roman" w:cs="Times New Roman"/>
        </w:rPr>
        <w:br w:type="page"/>
      </w:r>
    </w:p>
    <w:p w14:paraId="6FC6FD6B" w14:textId="77777777" w:rsidR="000D7718" w:rsidRPr="009D7BFF" w:rsidRDefault="008060A1" w:rsidP="00490AFD">
      <w:pPr>
        <w:spacing w:after="0" w:line="240" w:lineRule="auto"/>
        <w:jc w:val="center"/>
        <w:rPr>
          <w:rFonts w:ascii="Times New Roman" w:hAnsi="Times New Roman" w:cs="Times New Roman"/>
          <w:b/>
        </w:rPr>
      </w:pPr>
      <w:r w:rsidRPr="009D7BFF">
        <w:rPr>
          <w:rFonts w:ascii="Times New Roman" w:eastAsia="Times New Roman" w:hAnsi="Times New Roman" w:cs="Times New Roman"/>
          <w:b/>
        </w:rPr>
        <w:lastRenderedPageBreak/>
        <w:t>Таблица 1 — Отечественные системы искусственного интеллекта, протестированные на российских педиатрических выборках</w:t>
      </w:r>
    </w:p>
    <w:p w14:paraId="1C41CEA5" w14:textId="77777777" w:rsidR="00BA1DC6" w:rsidRPr="009D7BFF" w:rsidRDefault="00BA1DC6" w:rsidP="00490AFD">
      <w:pPr>
        <w:spacing w:after="0" w:line="240" w:lineRule="auto"/>
        <w:jc w:val="center"/>
        <w:rPr>
          <w:rFonts w:ascii="Times New Roman" w:hAnsi="Times New Roman" w:cs="Times New Roman"/>
        </w:rPr>
      </w:pPr>
    </w:p>
    <w:tbl>
      <w:tblPr>
        <w:tblStyle w:val="ae"/>
        <w:tblW w:w="9070" w:type="dxa"/>
        <w:tblBorders>
          <w:top w:val="single" w:sz="8" w:space="0" w:color="auto"/>
          <w:left w:val="single" w:sz="8" w:space="0" w:color="auto"/>
          <w:bottom w:val="single" w:sz="8" w:space="0" w:color="auto"/>
          <w:right w:val="single" w:sz="8" w:space="0" w:color="auto"/>
        </w:tblBorders>
        <w:tblLayout w:type="fixed"/>
        <w:tblCellMar>
          <w:top w:w="57" w:type="dxa"/>
          <w:left w:w="113" w:type="dxa"/>
          <w:bottom w:w="57" w:type="dxa"/>
          <w:right w:w="113" w:type="dxa"/>
        </w:tblCellMar>
        <w:tblLook w:val="04A0" w:firstRow="1" w:lastRow="0" w:firstColumn="1" w:lastColumn="0" w:noHBand="0" w:noVBand="1"/>
      </w:tblPr>
      <w:tblGrid>
        <w:gridCol w:w="1752"/>
        <w:gridCol w:w="2033"/>
        <w:gridCol w:w="1702"/>
        <w:gridCol w:w="2160"/>
        <w:gridCol w:w="1423"/>
      </w:tblGrid>
      <w:tr w:rsidR="00DE4386" w:rsidRPr="009D7BFF" w14:paraId="5AB9222F" w14:textId="77777777" w:rsidTr="00F30B2F">
        <w:trPr>
          <w:tblHeader/>
        </w:trPr>
        <w:tc>
          <w:tcPr>
            <w:tcW w:w="1752" w:type="dxa"/>
            <w:vAlign w:val="center"/>
            <w:hideMark/>
          </w:tcPr>
          <w:p w14:paraId="3FF4E6AF" w14:textId="77777777" w:rsidR="00DE4386" w:rsidRPr="009D7BFF" w:rsidRDefault="00DE4386" w:rsidP="00490AFD">
            <w:pPr>
              <w:jc w:val="center"/>
              <w:rPr>
                <w:rFonts w:ascii="Times New Roman" w:eastAsia="Times New Roman" w:hAnsi="Times New Roman" w:cs="Times New Roman"/>
                <w:b/>
                <w:bCs/>
                <w:color w:val="333333"/>
                <w:kern w:val="0"/>
                <w:lang w:eastAsia="ru-RU"/>
                <w14:ligatures w14:val="none"/>
              </w:rPr>
            </w:pPr>
            <w:r w:rsidRPr="009D7BFF">
              <w:rPr>
                <w:rFonts w:ascii="Times New Roman" w:eastAsia="Times New Roman" w:hAnsi="Times New Roman" w:cs="Times New Roman"/>
                <w:b/>
                <w:bCs/>
                <w:color w:val="333333"/>
              </w:rPr>
              <w:t>Разработчик и название системы</w:t>
            </w:r>
          </w:p>
        </w:tc>
        <w:tc>
          <w:tcPr>
            <w:tcW w:w="2033" w:type="dxa"/>
            <w:vAlign w:val="center"/>
            <w:hideMark/>
          </w:tcPr>
          <w:p w14:paraId="3142A84F" w14:textId="77777777" w:rsidR="00DE4386" w:rsidRPr="009D7BFF" w:rsidRDefault="00DE4386" w:rsidP="00490AFD">
            <w:pPr>
              <w:jc w:val="center"/>
              <w:rPr>
                <w:rFonts w:ascii="Times New Roman" w:eastAsia="Times New Roman" w:hAnsi="Times New Roman" w:cs="Times New Roman"/>
                <w:b/>
                <w:bCs/>
                <w:color w:val="333333"/>
                <w:kern w:val="0"/>
                <w:lang w:eastAsia="ru-RU"/>
                <w14:ligatures w14:val="none"/>
              </w:rPr>
            </w:pPr>
            <w:r w:rsidRPr="009D7BFF">
              <w:rPr>
                <w:rFonts w:ascii="Times New Roman" w:eastAsia="Times New Roman" w:hAnsi="Times New Roman" w:cs="Times New Roman"/>
                <w:b/>
                <w:bCs/>
                <w:color w:val="333333"/>
              </w:rPr>
              <w:t>Область применения</w:t>
            </w:r>
          </w:p>
        </w:tc>
        <w:tc>
          <w:tcPr>
            <w:tcW w:w="1702" w:type="dxa"/>
            <w:vAlign w:val="center"/>
            <w:hideMark/>
          </w:tcPr>
          <w:p w14:paraId="653FA548" w14:textId="77777777" w:rsidR="00DE4386" w:rsidRPr="009D7BFF" w:rsidRDefault="00DE4386" w:rsidP="00490AFD">
            <w:pPr>
              <w:jc w:val="center"/>
              <w:rPr>
                <w:rFonts w:ascii="Times New Roman" w:eastAsia="Times New Roman" w:hAnsi="Times New Roman" w:cs="Times New Roman"/>
                <w:b/>
                <w:bCs/>
                <w:color w:val="333333"/>
                <w:kern w:val="0"/>
                <w:lang w:eastAsia="ru-RU"/>
                <w14:ligatures w14:val="none"/>
              </w:rPr>
            </w:pPr>
            <w:r w:rsidRPr="009D7BFF">
              <w:rPr>
                <w:rFonts w:ascii="Times New Roman" w:eastAsia="Times New Roman" w:hAnsi="Times New Roman" w:cs="Times New Roman"/>
                <w:b/>
                <w:bCs/>
                <w:color w:val="333333"/>
              </w:rPr>
              <w:t>Класс риска программы</w:t>
            </w:r>
          </w:p>
        </w:tc>
        <w:tc>
          <w:tcPr>
            <w:tcW w:w="2160" w:type="dxa"/>
            <w:vAlign w:val="center"/>
            <w:hideMark/>
          </w:tcPr>
          <w:p w14:paraId="55B4990A" w14:textId="77777777" w:rsidR="00DE4386" w:rsidRPr="009D7BFF" w:rsidRDefault="00DE4386" w:rsidP="00490AFD">
            <w:pPr>
              <w:jc w:val="center"/>
              <w:rPr>
                <w:rFonts w:ascii="Times New Roman" w:eastAsia="Times New Roman" w:hAnsi="Times New Roman" w:cs="Times New Roman"/>
                <w:b/>
                <w:bCs/>
                <w:color w:val="333333"/>
                <w:kern w:val="0"/>
                <w:lang w:eastAsia="ru-RU"/>
                <w14:ligatures w14:val="none"/>
              </w:rPr>
            </w:pPr>
            <w:r w:rsidRPr="009D7BFF">
              <w:rPr>
                <w:rFonts w:ascii="Times New Roman" w:eastAsia="Times New Roman" w:hAnsi="Times New Roman" w:cs="Times New Roman"/>
                <w:b/>
                <w:bCs/>
                <w:color w:val="333333"/>
              </w:rPr>
              <w:t>Опубликованные результаты проверки</w:t>
            </w:r>
          </w:p>
        </w:tc>
        <w:tc>
          <w:tcPr>
            <w:tcW w:w="1423" w:type="dxa"/>
            <w:vAlign w:val="center"/>
            <w:hideMark/>
          </w:tcPr>
          <w:p w14:paraId="6200CC3B"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Источник / материал</w:t>
            </w:r>
          </w:p>
        </w:tc>
      </w:tr>
      <w:tr w:rsidR="00DE4386" w:rsidRPr="009D7BFF" w14:paraId="039319E2" w14:textId="77777777" w:rsidTr="00DE4386">
        <w:tc>
          <w:tcPr>
            <w:tcW w:w="1752" w:type="dxa"/>
            <w:hideMark/>
          </w:tcPr>
          <w:p w14:paraId="0B614789" w14:textId="7EC0F4E3"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Центр диагностики и телемеди-цины (МосМедИИ) / алгоритмы оценки возраста костей</w:t>
            </w:r>
          </w:p>
        </w:tc>
        <w:tc>
          <w:tcPr>
            <w:tcW w:w="2033" w:type="dxa"/>
            <w:hideMark/>
          </w:tcPr>
          <w:p w14:paraId="2E01F9CF" w14:textId="3C9B2109"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Определение возраста костей по</w:t>
            </w:r>
            <w:r w:rsidR="00D417D3" w:rsidRPr="009D7BFF">
              <w:rPr>
                <w:rFonts w:ascii="Times New Roman" w:eastAsia="Times New Roman" w:hAnsi="Times New Roman" w:cs="Times New Roman"/>
                <w:color w:val="000000"/>
              </w:rPr>
              <w:t xml:space="preserve"> </w:t>
            </w:r>
            <w:r w:rsidRPr="009D7BFF">
              <w:rPr>
                <w:rFonts w:ascii="Times New Roman" w:eastAsia="Times New Roman" w:hAnsi="Times New Roman" w:cs="Times New Roman"/>
                <w:color w:val="000000"/>
              </w:rPr>
              <w:t>рентгеновскому снимку кисти</w:t>
            </w:r>
          </w:p>
        </w:tc>
        <w:tc>
          <w:tcPr>
            <w:tcW w:w="1702" w:type="dxa"/>
            <w:hideMark/>
          </w:tcPr>
          <w:p w14:paraId="1CD94607"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w:t>
            </w:r>
          </w:p>
        </w:tc>
        <w:tc>
          <w:tcPr>
            <w:tcW w:w="2160" w:type="dxa"/>
            <w:hideMark/>
          </w:tcPr>
          <w:p w14:paraId="53A7CF4B"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В материалах хакатона сообщается о перспективности нейросетевых программ; точные цифры качества требуют клинической проверки.</w:t>
            </w:r>
          </w:p>
        </w:tc>
        <w:tc>
          <w:tcPr>
            <w:tcW w:w="1423" w:type="dxa"/>
            <w:hideMark/>
          </w:tcPr>
          <w:p w14:paraId="4789912C"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Резников и др., 2024 [12]</w:t>
            </w:r>
          </w:p>
        </w:tc>
      </w:tr>
      <w:tr w:rsidR="00DE4386" w:rsidRPr="009D7BFF" w14:paraId="570EC470" w14:textId="77777777" w:rsidTr="00F30B2F">
        <w:tc>
          <w:tcPr>
            <w:tcW w:w="1752" w:type="dxa"/>
            <w:hideMark/>
          </w:tcPr>
          <w:p w14:paraId="3D549EDC"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НМИЦ травматоло-гии и ортопедии им. Н.Н. Приорова / компью-терные программы</w:t>
            </w:r>
          </w:p>
        </w:tc>
        <w:tc>
          <w:tcPr>
            <w:tcW w:w="2033" w:type="dxa"/>
            <w:hideMark/>
          </w:tcPr>
          <w:p w14:paraId="725F3AC1"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Оценка возраста костей при планировании хирургических операций у детей с открытыми зонами роста</w:t>
            </w:r>
          </w:p>
        </w:tc>
        <w:tc>
          <w:tcPr>
            <w:tcW w:w="1702" w:type="dxa"/>
            <w:hideMark/>
          </w:tcPr>
          <w:p w14:paraId="4A5E0057"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w:t>
            </w:r>
          </w:p>
        </w:tc>
        <w:tc>
          <w:tcPr>
            <w:tcW w:w="2160" w:type="dxa"/>
            <w:hideMark/>
          </w:tcPr>
          <w:p w14:paraId="67C8649C"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Программные инструменты показали результаты, сопоставимые с использованными методами оценки (20 пациентов); окончательная клиническая оценка требует более крупных исследований.</w:t>
            </w:r>
          </w:p>
        </w:tc>
        <w:tc>
          <w:tcPr>
            <w:tcW w:w="1423" w:type="dxa"/>
            <w:hideMark/>
          </w:tcPr>
          <w:p w14:paraId="1344F244"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Иванов и др., 2024 [13]</w:t>
            </w:r>
          </w:p>
        </w:tc>
      </w:tr>
      <w:tr w:rsidR="00DE4386" w:rsidRPr="009D7BFF" w14:paraId="7C7346EF" w14:textId="77777777" w:rsidTr="00DE4386">
        <w:tc>
          <w:tcPr>
            <w:tcW w:w="1752" w:type="dxa"/>
            <w:hideMark/>
          </w:tcPr>
          <w:p w14:paraId="6C92DD31"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Платформа Webiomed (К-МИС — клинико-медицинская информа-ционная система) / система прогнози-рования заболеваний</w:t>
            </w:r>
          </w:p>
        </w:tc>
        <w:tc>
          <w:tcPr>
            <w:tcW w:w="2033" w:type="dxa"/>
            <w:hideMark/>
          </w:tcPr>
          <w:p w14:paraId="593C9F34"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Автоматический анализ электронных карт пациентов для оценки качества данных и прогнозирования болезней</w:t>
            </w:r>
          </w:p>
        </w:tc>
        <w:tc>
          <w:tcPr>
            <w:tcW w:w="1702" w:type="dxa"/>
            <w:hideMark/>
          </w:tcPr>
          <w:p w14:paraId="05B47838"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3 (высокий риск)</w:t>
            </w:r>
          </w:p>
        </w:tc>
        <w:tc>
          <w:tcPr>
            <w:tcW w:w="2160" w:type="dxa"/>
            <w:hideMark/>
          </w:tcPr>
          <w:p w14:paraId="7774A627"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Система успешно обрабатывает данные из сотен медицинских организаций (включая детские поликлиники и роддома). Точные цифры качества работы программы на детских данных пока не опубликованы.</w:t>
            </w:r>
          </w:p>
        </w:tc>
        <w:tc>
          <w:tcPr>
            <w:tcW w:w="1423" w:type="dxa"/>
            <w:hideMark/>
          </w:tcPr>
          <w:p w14:paraId="51170DA5"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Андрей-ченко и др., 2024 [14]</w:t>
            </w:r>
          </w:p>
        </w:tc>
      </w:tr>
      <w:tr w:rsidR="00DE4386" w:rsidRPr="009D7BFF" w14:paraId="4859D9CB" w14:textId="77777777" w:rsidTr="00F30B2F">
        <w:tc>
          <w:tcPr>
            <w:tcW w:w="1752" w:type="dxa"/>
            <w:hideMark/>
          </w:tcPr>
          <w:p w14:paraId="6D75306A"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 xml:space="preserve">Институт глазных болезней им. Гельмгольца / программа </w:t>
            </w:r>
            <w:r w:rsidRPr="009D7BFF">
              <w:rPr>
                <w:rFonts w:ascii="Times New Roman" w:eastAsia="Times New Roman" w:hAnsi="Times New Roman" w:cs="Times New Roman"/>
                <w:b/>
                <w:bCs/>
                <w:color w:val="000000"/>
              </w:rPr>
              <w:lastRenderedPageBreak/>
              <w:t>на базе нейросети ResNet50</w:t>
            </w:r>
          </w:p>
        </w:tc>
        <w:tc>
          <w:tcPr>
            <w:tcW w:w="2033" w:type="dxa"/>
            <w:hideMark/>
          </w:tcPr>
          <w:p w14:paraId="43CF3A6F"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lastRenderedPageBreak/>
              <w:t xml:space="preserve">Поиск диабетической ретинопатии по снимкам глазного дна </w:t>
            </w:r>
            <w:r w:rsidRPr="009D7BFF">
              <w:rPr>
                <w:rFonts w:ascii="Times New Roman" w:eastAsia="Times New Roman" w:hAnsi="Times New Roman" w:cs="Times New Roman"/>
                <w:color w:val="000000"/>
              </w:rPr>
              <w:lastRenderedPageBreak/>
              <w:t>(взрослые пациенты)</w:t>
            </w:r>
          </w:p>
        </w:tc>
        <w:tc>
          <w:tcPr>
            <w:tcW w:w="1702" w:type="dxa"/>
            <w:hideMark/>
          </w:tcPr>
          <w:p w14:paraId="00018BC5"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lastRenderedPageBreak/>
              <w:t>—</w:t>
            </w:r>
          </w:p>
        </w:tc>
        <w:tc>
          <w:tcPr>
            <w:tcW w:w="2160" w:type="dxa"/>
            <w:hideMark/>
          </w:tcPr>
          <w:p w14:paraId="565BB711"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 xml:space="preserve">Чувствительность модели составила 85% на обучающей выборке и 65% на </w:t>
            </w:r>
            <w:r w:rsidRPr="009D7BFF">
              <w:rPr>
                <w:rFonts w:ascii="Times New Roman" w:eastAsia="Times New Roman" w:hAnsi="Times New Roman" w:cs="Times New Roman"/>
                <w:color w:val="000000"/>
              </w:rPr>
              <w:lastRenderedPageBreak/>
              <w:t>тестовой (датасет Messidor, 1200 снимков). Авторы указывают на необходимость дополнительного обучения программы на реальных снимках пациентов клиники.</w:t>
            </w:r>
          </w:p>
        </w:tc>
        <w:tc>
          <w:tcPr>
            <w:tcW w:w="1423" w:type="dxa"/>
            <w:hideMark/>
          </w:tcPr>
          <w:p w14:paraId="178AF15A"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lastRenderedPageBreak/>
              <w:t>Нероев и др., 2021 [15]</w:t>
            </w:r>
          </w:p>
        </w:tc>
      </w:tr>
      <w:tr w:rsidR="00DE4386" w:rsidRPr="009D7BFF" w14:paraId="03A9D055" w14:textId="77777777" w:rsidTr="00DE4386">
        <w:tc>
          <w:tcPr>
            <w:tcW w:w="1752" w:type="dxa"/>
            <w:hideMark/>
          </w:tcPr>
          <w:p w14:paraId="3A052141"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Центр речевых технологий / система Voice2Med</w:t>
            </w:r>
          </w:p>
        </w:tc>
        <w:tc>
          <w:tcPr>
            <w:tcW w:w="2033" w:type="dxa"/>
            <w:hideMark/>
          </w:tcPr>
          <w:p w14:paraId="71D992A7"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Голосовой ввод и распознавание речи для автоматического заполнения карт врачами-педиатрами</w:t>
            </w:r>
          </w:p>
        </w:tc>
        <w:tc>
          <w:tcPr>
            <w:tcW w:w="1702" w:type="dxa"/>
            <w:hideMark/>
          </w:tcPr>
          <w:p w14:paraId="42DBFAEB"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w:t>
            </w:r>
          </w:p>
        </w:tc>
        <w:tc>
          <w:tcPr>
            <w:tcW w:w="2160" w:type="dxa"/>
            <w:hideMark/>
          </w:tcPr>
          <w:p w14:paraId="0C35D2BB"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Идет сбор данных о снижении бумажной нагрузки на врачей в ходе пилотного (пробного) использования системы в поликлиниках.</w:t>
            </w:r>
          </w:p>
        </w:tc>
        <w:tc>
          <w:tcPr>
            <w:tcW w:w="1423" w:type="dxa"/>
            <w:hideMark/>
          </w:tcPr>
          <w:p w14:paraId="07E1FCBF" w14:textId="550965F2"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Реестр россий-ского ПО (Мин</w:t>
            </w:r>
            <w:r w:rsidR="00922DA8">
              <w:rPr>
                <w:rFonts w:ascii="Times New Roman" w:eastAsia="Times New Roman" w:hAnsi="Times New Roman" w:cs="Times New Roman"/>
                <w:color w:val="000000"/>
              </w:rPr>
              <w:t>-</w:t>
            </w:r>
            <w:r w:rsidRPr="009D7BFF">
              <w:rPr>
                <w:rFonts w:ascii="Times New Roman" w:eastAsia="Times New Roman" w:hAnsi="Times New Roman" w:cs="Times New Roman"/>
                <w:color w:val="000000"/>
              </w:rPr>
              <w:t>цифры)</w:t>
            </w:r>
          </w:p>
        </w:tc>
      </w:tr>
      <w:tr w:rsidR="00DE4386" w:rsidRPr="009D7BFF" w14:paraId="2B94BDDD" w14:textId="77777777" w:rsidTr="00F30B2F">
        <w:tc>
          <w:tcPr>
            <w:tcW w:w="1752" w:type="dxa"/>
            <w:hideMark/>
          </w:tcPr>
          <w:p w14:paraId="24A9EF0C"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Центр технологий для общества Yandex Cloud, ШАД Яндекса / СПбГПМУ (ИИ для анализа развития мозга новорож-денных))</w:t>
            </w:r>
          </w:p>
        </w:tc>
        <w:tc>
          <w:tcPr>
            <w:tcW w:w="2033" w:type="dxa"/>
            <w:hideMark/>
          </w:tcPr>
          <w:p w14:paraId="2644729B"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Автоматическая сегментация МРТ головного мозга младенцев, оценка соотношения и объёмов серого и белого вещества для раннего выявления ДЦП и других патологий ЦНС.</w:t>
            </w:r>
          </w:p>
        </w:tc>
        <w:tc>
          <w:tcPr>
            <w:tcW w:w="1702" w:type="dxa"/>
            <w:hideMark/>
          </w:tcPr>
          <w:p w14:paraId="2AED7695"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w:t>
            </w:r>
          </w:p>
        </w:tc>
        <w:tc>
          <w:tcPr>
            <w:tcW w:w="2160" w:type="dxa"/>
            <w:hideMark/>
          </w:tcPr>
          <w:p w14:paraId="0DC891E3"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Разработчики сообщают о точности сегментации свыше 90% и сокращении времени анализа с нескольких дней до нескольких минут; независимая проверка показателей не представлена.</w:t>
            </w:r>
          </w:p>
        </w:tc>
        <w:tc>
          <w:tcPr>
            <w:tcW w:w="1423" w:type="dxa"/>
            <w:hideMark/>
          </w:tcPr>
          <w:p w14:paraId="3B00DFC1"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Поздняков и др., 2025 [17]; Материалы Yandex Cloud, 2025 [18]</w:t>
            </w:r>
          </w:p>
        </w:tc>
      </w:tr>
      <w:tr w:rsidR="00DE4386" w:rsidRPr="009D7BFF" w14:paraId="7F65D136" w14:textId="77777777" w:rsidTr="00DE4386">
        <w:tc>
          <w:tcPr>
            <w:tcW w:w="1752" w:type="dxa"/>
            <w:hideMark/>
          </w:tcPr>
          <w:p w14:paraId="04449D75" w14:textId="7942B120"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t>ООО «Медицин</w:t>
            </w:r>
            <w:r w:rsidR="002243E9" w:rsidRPr="009D7BFF">
              <w:rPr>
                <w:rFonts w:ascii="Times New Roman" w:eastAsia="Times New Roman" w:hAnsi="Times New Roman" w:cs="Times New Roman"/>
                <w:b/>
                <w:bCs/>
                <w:color w:val="000000"/>
              </w:rPr>
              <w:t>-</w:t>
            </w:r>
            <w:r w:rsidRPr="009D7BFF">
              <w:rPr>
                <w:rFonts w:ascii="Times New Roman" w:eastAsia="Times New Roman" w:hAnsi="Times New Roman" w:cs="Times New Roman"/>
                <w:b/>
                <w:bCs/>
                <w:color w:val="000000"/>
              </w:rPr>
              <w:t>ск</w:t>
            </w:r>
            <w:r w:rsidR="00BE6DB8" w:rsidRPr="009D7BFF">
              <w:rPr>
                <w:rFonts w:ascii="Times New Roman" w:eastAsia="Times New Roman" w:hAnsi="Times New Roman" w:cs="Times New Roman"/>
                <w:b/>
                <w:bCs/>
                <w:color w:val="000000"/>
              </w:rPr>
              <w:t>и</w:t>
            </w:r>
            <w:r w:rsidRPr="009D7BFF">
              <w:rPr>
                <w:rFonts w:ascii="Times New Roman" w:eastAsia="Times New Roman" w:hAnsi="Times New Roman" w:cs="Times New Roman"/>
                <w:b/>
                <w:bCs/>
                <w:color w:val="000000"/>
              </w:rPr>
              <w:t>е скрининг системы» (бренд ЦЕЛЬС®) / СППВР «ЦЕЛЬС®»</w:t>
            </w:r>
          </w:p>
        </w:tc>
        <w:tc>
          <w:tcPr>
            <w:tcW w:w="2033" w:type="dxa"/>
            <w:hideMark/>
          </w:tcPr>
          <w:p w14:paraId="575940A2"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 xml:space="preserve">Автомати-зированный анализ рентгенограмм органов грудной клетки (диагностика пневмонии у детей) и УЗИ-снимков </w:t>
            </w:r>
            <w:r w:rsidRPr="009D7BFF">
              <w:rPr>
                <w:rFonts w:ascii="Times New Roman" w:eastAsia="Times New Roman" w:hAnsi="Times New Roman" w:cs="Times New Roman"/>
                <w:color w:val="000000"/>
              </w:rPr>
              <w:lastRenderedPageBreak/>
              <w:t>(выявление патологий новорожденных).</w:t>
            </w:r>
          </w:p>
        </w:tc>
        <w:tc>
          <w:tcPr>
            <w:tcW w:w="1702" w:type="dxa"/>
            <w:hideMark/>
          </w:tcPr>
          <w:p w14:paraId="16116A5C"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lastRenderedPageBreak/>
              <w:t>3 (высокий риск, зарегистриро-ванные модули для взрослых; педиатри-ческие версии на стадии тестирования)</w:t>
            </w:r>
          </w:p>
        </w:tc>
        <w:tc>
          <w:tcPr>
            <w:tcW w:w="2160" w:type="dxa"/>
            <w:hideMark/>
          </w:tcPr>
          <w:p w14:paraId="62916371"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 xml:space="preserve">В материалах разработчика описывается возможность адаптации алгоритмов для распознавания изменений на рентгенограммах и УЗИ; </w:t>
            </w:r>
            <w:r w:rsidRPr="009D7BFF">
              <w:rPr>
                <w:rFonts w:ascii="Times New Roman" w:eastAsia="Times New Roman" w:hAnsi="Times New Roman" w:cs="Times New Roman"/>
              </w:rPr>
              <w:lastRenderedPageBreak/>
              <w:t>независимые клинические результаты требуют проверки.</w:t>
            </w:r>
          </w:p>
        </w:tc>
        <w:tc>
          <w:tcPr>
            <w:tcW w:w="1423" w:type="dxa"/>
            <w:hideMark/>
          </w:tcPr>
          <w:p w14:paraId="7EA0C5CE"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lastRenderedPageBreak/>
              <w:t xml:space="preserve">Офи-циальные материалы ЦЕЛЬС®, 2025 [19]; независимое исследование Chen и др. по </w:t>
            </w:r>
            <w:r w:rsidRPr="009D7BFF">
              <w:rPr>
                <w:rFonts w:ascii="Times New Roman" w:eastAsia="Times New Roman" w:hAnsi="Times New Roman" w:cs="Times New Roman"/>
              </w:rPr>
              <w:lastRenderedPageBreak/>
              <w:t>классификации детских рентгенограмм при пневмонии, 2021 [20]</w:t>
            </w:r>
          </w:p>
        </w:tc>
      </w:tr>
      <w:tr w:rsidR="00DE4386" w:rsidRPr="009D7BFF" w14:paraId="532FF488" w14:textId="77777777" w:rsidTr="00F30B2F">
        <w:tc>
          <w:tcPr>
            <w:tcW w:w="1752" w:type="dxa"/>
            <w:hideMark/>
          </w:tcPr>
          <w:p w14:paraId="0017FCCE" w14:textId="77777777" w:rsidR="00DE4386" w:rsidRPr="009D7BFF" w:rsidRDefault="00DE4386" w:rsidP="00490AFD">
            <w:pPr>
              <w:rPr>
                <w:rFonts w:ascii="Times New Roman" w:eastAsia="Times New Roman" w:hAnsi="Times New Roman" w:cs="Times New Roman"/>
                <w:b/>
                <w:bCs/>
                <w:color w:val="000000"/>
                <w:kern w:val="0"/>
                <w:lang w:eastAsia="ru-RU"/>
                <w14:ligatures w14:val="none"/>
              </w:rPr>
            </w:pPr>
            <w:r w:rsidRPr="009D7BFF">
              <w:rPr>
                <w:rFonts w:ascii="Times New Roman" w:eastAsia="Times New Roman" w:hAnsi="Times New Roman" w:cs="Times New Roman"/>
                <w:b/>
                <w:bCs/>
                <w:color w:val="000000"/>
              </w:rPr>
              <w:lastRenderedPageBreak/>
              <w:t>Центр ИИ НГУ / ИЦиГ СО РАН (СППВР «Цифровой помощник врача «Доктор Пирогов»»)</w:t>
            </w:r>
          </w:p>
        </w:tc>
        <w:tc>
          <w:tcPr>
            <w:tcW w:w="2033" w:type="dxa"/>
            <w:hideMark/>
          </w:tcPr>
          <w:p w14:paraId="334A2BCD"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Много-профиль-ный интерактивный опрос, анализ ЭМК, данных лабораторных и генетических тестов. Дифферен-циальная диагностика до 250 заболеваний (включая педиатрический профиль).</w:t>
            </w:r>
          </w:p>
        </w:tc>
        <w:tc>
          <w:tcPr>
            <w:tcW w:w="1702" w:type="dxa"/>
            <w:hideMark/>
          </w:tcPr>
          <w:p w14:paraId="3F7F1D75"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не зарегистриро-ван (прототип)</w:t>
            </w:r>
          </w:p>
        </w:tc>
        <w:tc>
          <w:tcPr>
            <w:tcW w:w="2160" w:type="dxa"/>
            <w:hideMark/>
          </w:tcPr>
          <w:p w14:paraId="78D17548" w14:textId="77777777" w:rsidR="00E123E3" w:rsidRPr="009D7BFF" w:rsidRDefault="008060A1" w:rsidP="00490AFD">
            <w:pPr>
              <w:rPr>
                <w:rFonts w:ascii="Times New Roman" w:hAnsi="Times New Roman" w:cs="Times New Roman"/>
              </w:rPr>
            </w:pPr>
            <w:r w:rsidRPr="009D7BFF">
              <w:rPr>
                <w:rFonts w:ascii="Times New Roman" w:eastAsia="Times New Roman" w:hAnsi="Times New Roman" w:cs="Times New Roman"/>
              </w:rPr>
              <w:t>Разработчики сообщают о прототипе на основе гибридного подхода; точность распознавания и клиническая применимость не установлены.</w:t>
            </w:r>
          </w:p>
        </w:tc>
        <w:tc>
          <w:tcPr>
            <w:tcW w:w="1423" w:type="dxa"/>
            <w:hideMark/>
          </w:tcPr>
          <w:p w14:paraId="4DF1E01F" w14:textId="77777777" w:rsidR="00DE4386" w:rsidRPr="009D7BFF" w:rsidRDefault="00DE4386" w:rsidP="00490AFD">
            <w:pPr>
              <w:rPr>
                <w:rFonts w:ascii="Times New Roman" w:eastAsia="Times New Roman" w:hAnsi="Times New Roman" w:cs="Times New Roman"/>
                <w:color w:val="000000"/>
                <w:kern w:val="0"/>
                <w:lang w:eastAsia="ru-RU"/>
                <w14:ligatures w14:val="none"/>
              </w:rPr>
            </w:pPr>
            <w:r w:rsidRPr="009D7BFF">
              <w:rPr>
                <w:rFonts w:ascii="Times New Roman" w:eastAsia="Times New Roman" w:hAnsi="Times New Roman" w:cs="Times New Roman"/>
                <w:color w:val="000000"/>
              </w:rPr>
              <w:t>Офи-циальные материалы НГУ, 2025–2026 [21]</w:t>
            </w:r>
          </w:p>
        </w:tc>
      </w:tr>
    </w:tbl>
    <w:p w14:paraId="16BFB4B2" w14:textId="77777777" w:rsidR="00242E84" w:rsidRPr="009D7BFF" w:rsidRDefault="00242E84" w:rsidP="00490AFD">
      <w:pPr>
        <w:spacing w:after="0" w:line="240" w:lineRule="auto"/>
        <w:jc w:val="both"/>
        <w:rPr>
          <w:rFonts w:ascii="Times New Roman" w:eastAsia="Times New Roman" w:hAnsi="Times New Roman" w:cs="Times New Roman"/>
          <w:b/>
        </w:rPr>
      </w:pPr>
    </w:p>
    <w:p w14:paraId="27313705" w14:textId="3B2F0AD7" w:rsidR="005B6402" w:rsidRPr="009D7BFF" w:rsidRDefault="008060A1" w:rsidP="00490AFD">
      <w:pPr>
        <w:spacing w:after="0" w:line="240" w:lineRule="auto"/>
        <w:jc w:val="both"/>
        <w:rPr>
          <w:rFonts w:ascii="Times New Roman" w:hAnsi="Times New Roman" w:cs="Times New Roman"/>
        </w:rPr>
      </w:pPr>
      <w:r w:rsidRPr="009D7BFF">
        <w:rPr>
          <w:rFonts w:ascii="Times New Roman" w:eastAsia="Times New Roman" w:hAnsi="Times New Roman" w:cs="Times New Roman"/>
          <w:b/>
        </w:rPr>
        <w:t xml:space="preserve">Примечание. </w:t>
      </w:r>
      <w:r w:rsidRPr="009D7BFF">
        <w:rPr>
          <w:rFonts w:ascii="Times New Roman" w:eastAsia="Times New Roman" w:hAnsi="Times New Roman" w:cs="Times New Roman"/>
        </w:rPr>
        <w:t>МосМедИИ — центр диагностики и телемедицины; НМИЦ — национальный медицинский исследовательский центр; К-МИС — клинико-медицинская информационная система; ШАД — школа анализа данных; СПбГПМУ — Санкт-Петербургский государственный педиатрический медицинский университет; СППВР — система поддержки принятия врачебных решений; ЭМК — электронная медицинская карта; ДЦП — детский церебральный паралич; ЦНС — центральная нервная система; УЗИ — ультразвуковое исследование; ИЦиГ СО РАН — Институт цитологии и генетики Сибирского отделения Российской академии наук.</w:t>
      </w:r>
    </w:p>
    <w:p w14:paraId="2618812D"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Доступные материалы преимущественно относятся к проектам и публикациям последних лет; часть отечественных решений описана в официальных сообщениях разработчиков, а не в независимых клинических исследованиях.</w:t>
      </w:r>
    </w:p>
    <w:p w14:paraId="15206455"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Определение возраста костей по рентгену — важнейший инструмент в детской ортопедии и эндокринологии. Он помогает понять, как растет ребенок и есть ли у него гормональные нарушения. В исследовании НМИЦ (национальный медицинский исследовательский центр) травматологии и ортопедии им. Н.Н. Приорова на группе из 20 детей с повреждениями коленного сустава сравнивали методы оценки по атласам Грейлиха–Пайля и Таннера–Уайтхауса, а также программные инструменты на основе машинного обучения [13]. Исследование показало, что у большинства детей костный возраст опережал паспортный (в среднем примерно на 21 месяц), тогда как у остальных отмечалось отставание (около 18 месяцев). Следует отметить, что приведённые пропорции основаны на малой выборке (20 пациентов) и не подтверждаются в независимых источниках. Результаты применения программных инструментов были сопоставимы с использованными методами оценки костного возраста; однако небольшая </w:t>
      </w:r>
      <w:r w:rsidRPr="009D7BFF">
        <w:rPr>
          <w:rFonts w:ascii="Times New Roman" w:eastAsia="Times New Roman" w:hAnsi="Times New Roman" w:cs="Times New Roman"/>
        </w:rPr>
        <w:lastRenderedPageBreak/>
        <w:t>выборка не позволяет делать окончательные выводы о клинической эквивалентности программ и врачебной оценки. Однако точные показатели чувствительности (способности программы находить патологию) и специфичности (способности подтверждать норму) в данной статье авторы не приводят.</w:t>
      </w:r>
    </w:p>
    <w:p w14:paraId="16B5C136"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Схожие результаты получили специалисты Центра диагностики и телемедицины в Москве, где нейросети учили определять возраст костей по рентгену кисти в рамках крупного конкурса (хакатона) для разработчиков [12]. В официально описанных материалах московского хакатона сообщалось о перспективности применения нейросетевых программ для оценки костного возраста; независимая клиническая проверка этих результатов требует отдельного подтверждения. Сопоставимость результатов конкретного программного решения с оценками экспертов, использовавших метод Грейлиха–Пайля, показана в одноцентровом исследовании на немецкой педиатрической выборке [22].</w:t>
      </w:r>
    </w:p>
    <w:p w14:paraId="55C1EE29"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В исследовании использовались 1200 изображений глаз из набора Messidor; была реализована модель на основе ResNet50 и демонстрационный веб-сервис. Приведённые показатели относятся к этому прототипу и не являются результатами клинического внедрения [15]. Результаты данной работы не позволяют напрямую оценить эффективность системы на детских выборках, включая ретинопатию недоношенных. Международный опыт автоматизированной диагностики ретинопатии недоношенных обобщён в систематическом обзоре. Обзор указывает на перспективность ИИ как вспомогательного инструмента, однако подчёркивает недостаточность оснований для его использования как самостоятельного диагностического средства [23].</w:t>
      </w:r>
    </w:p>
    <w:p w14:paraId="0BDA87EB"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В сфере анализа электронных медицинских карт платформа Webiomed рассматривается в статье как пример практического применения методики оценки качества данных. Работа посвящена проблеме неоднородности и качества данных электронных медицинских карт; такие особенности могут затруднять автоматическое извлечение клинически значимой информации [14]. Независимые количественные показатели работы платформы на детских данных в доступных материалах не представлены. Параллельно для снижения нагрузки на врачей внедряется система голосового заполнения медицинской документации Voice2Med (Центр речевых технологий), внесённая в Реестр российского ПО (Минцифры).</w:t>
      </w:r>
    </w:p>
    <w:p w14:paraId="599D00DC"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Важным шагом на пути преодоления дефицита детских данных и создания специализированных обучающих выборок стала интеграция усилий академического медицинского сообщества и крупных отечественных технологических компаний. </w:t>
      </w:r>
    </w:p>
    <w:p w14:paraId="7736E47D"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Заметным примером такого сотрудничества является совместный проект Центра технологий для общества Yandex Cloud, Школы анализа данных (ШАД) Яндекса и Санкт-Петербургского государственного педиатрического медицинского университета (СПбГПМУ). Ими была разработана специализированная нейросеть для анализа МРТ (магнитно-резонансная томография) головного мозга новорожденных и оценки развития центральной нервной системы на самых ранних этапах жизни [17]. Система в автоматическом режиме осуществляет сегментацию тканей головного мозга и рассчитывает соотношение объёмов белого и серого вещества, что рассматривается разработчиками как потенциально полезный показатель для оценки развития центральной нервной системы и последующего изучения рисков неврологических нарушений. По сообщениям разработчиков, решение размещено на платформе Yandex Cloud и доступно в формате веб-сервиса; сообщается о высокой точности сегментации и сокращении времени анализа. Эти показатели и возможность дальнейшего масштабирования требуют независимой оценки [17, 18].</w:t>
      </w:r>
    </w:p>
    <w:p w14:paraId="0FE8972F"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Ещё одним направлением адаптации ИИ под педиатрическую практику является развитие коммерческих платформ анализа медицинских снимков. Система поддержки </w:t>
      </w:r>
      <w:r w:rsidRPr="009D7BFF">
        <w:rPr>
          <w:rFonts w:ascii="Times New Roman" w:eastAsia="Times New Roman" w:hAnsi="Times New Roman" w:cs="Times New Roman"/>
        </w:rPr>
        <w:lastRenderedPageBreak/>
        <w:t>принятия врачебных решений (СППВР) «ЦЕЛЬС®» (разработка ООО «Медицинские скрининг системы»), зарегистрированная по высшему (III) классу потенциального риска для ряда взрослых модальностей; для неё заявлены направления адаптации и применения в педиатрии, а независимые результаты клинического тестирования требуют отдельного подтверждения [19]. В материалах разработчика среди возможных направлений применения упоминаются распознавание признаков пневмонии по рентгенограммам лёгких у детей и анализ УЗИ новорождённых; клинические результаты таких применений требуют отдельной проверки. Применение подобных систем на амбулаторном и стационарном этапах потенциально может способствовать стандартизации интерпретации визуальных данных и снижению нагрузки на врачей лучевой диагностики; клиническая эффективность конкретной платформы требует отдельной оценки [19, 20].</w:t>
      </w:r>
    </w:p>
    <w:p w14:paraId="68FC9EA5"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 xml:space="preserve">Развитие отечественных технологий ИИ в педиатрии демонстрирует переход от узкоспециализированного анализа медицинских изображений к комплексным гибридным системам, способным напрямую решать проблему «чёрного ящика» (непрозрачности решений нейросетей), описанную ранее как один из главных барьеров для клинического доверия. </w:t>
      </w:r>
    </w:p>
    <w:p w14:paraId="3E5EFF1A"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Примером такого подхода является проект «Цифровой помощник врача „Доктор Пирогов“», разработанный Исследовательским центром в сфере искусственного интеллекта Новосибирского государственного университета (НГУ) совместно с ФИЦ (федеральный исследовательский центр) «Институт цитологии и генетики СО РАН (Сибирского отделения Российской академии наук)» [21]. По сообщениям разработчиков, система создаётся как гибридное решение, объединяющее нейросетевые методы и граф медицинских знаний. Разработчики сообщают о широком охвате заболеваний и наличии педиатрического профиля, однако эти характеристики представлены в официальном сообщении и не заменяют результаты независимого клинического исследования [21].</w:t>
      </w:r>
    </w:p>
    <w:p w14:paraId="5D6D5625"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По данным, приведённым в обзоре реестра Росздравнадзора, отдельные рассмотренные медицинские изделия, связанные с платформами Webiomed и «ЦЕЛЬС®», отнесены к III классу потенциального риска; конкретный статус и состав зарегистрированных модулей необходимо проверять по актуальной записи реестра [16]. Хотя государственные стандарты закладывают общие правила их использования, строгие требования к детским базам данных все еще находятся в процессе разработки.</w:t>
      </w:r>
    </w:p>
    <w:p w14:paraId="468EB124"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Одним из существенных рисков для отечественных разработок может быть ограниченный объём и недостаточная разнообразность обучающих баз данных. В таких условиях возрастает вероятность переобучения программы под особенности конкретной клиники. При изменении оборудования, настроек исследования или состава пациентов программа может демонстрировать снижение точности [24]. Поэтому перенос результатов между клиниками и регионами требует отдельной внешней проверки.</w:t>
      </w:r>
    </w:p>
    <w:p w14:paraId="6B2E9AE7"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Проблема объяснимости решений остаётся одним из факторов, способных ограничивать доверие к ИИ-системам. В ряде случаев итоговая классификация может не сопровождаться достаточным для врача объяснением логики решения, что затрудняет независимую проверку результата [7].</w:t>
      </w:r>
    </w:p>
    <w:p w14:paraId="75F96E2D"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В рассмотренных материалах практически не представлены результаты длительного наблюдения за детьми после внедрения ИИ; это ограничивает оценку долгосрочного влияния таких технологий на результаты лечения [26].</w:t>
      </w:r>
    </w:p>
    <w:p w14:paraId="6C027D2A"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t>Отдельным общим риском остаётся алгоритмическая предвзятость: исследование Obermeyer et al. показало, что использование неподходящего целевого показателя может приводить к неравномерному распределению медицинских ресурсов [6]. Для российских педиатрических систем наличие аналогичного эффекта требует специальной проверки.</w:t>
      </w:r>
    </w:p>
    <w:p w14:paraId="7D04A1AA" w14:textId="77777777" w:rsidR="005B6402" w:rsidRPr="009D7BFF" w:rsidRDefault="005B6402" w:rsidP="00490AFD">
      <w:pPr>
        <w:spacing w:after="0" w:line="240" w:lineRule="auto"/>
        <w:ind w:firstLine="709"/>
        <w:jc w:val="both"/>
        <w:rPr>
          <w:rFonts w:ascii="Times New Roman" w:hAnsi="Times New Roman" w:cs="Times New Roman"/>
        </w:rPr>
      </w:pPr>
      <w:r w:rsidRPr="009D7BFF">
        <w:rPr>
          <w:rFonts w:ascii="Times New Roman" w:eastAsia="Times New Roman" w:hAnsi="Times New Roman" w:cs="Times New Roman"/>
        </w:rPr>
        <w:lastRenderedPageBreak/>
        <w:t>При сравнении российского опыта с зарубежным видна общая картина. Международный обзор Nagendran и соавт. (2020) указывает на неоднородность дизайна и отчётности исследований ИИ в медицинской визуализации, ограниченную внешнюю проверку и необходимость более осторожной интерпретации заявлений о сопоставимости ИИ с врачами [26]. Рекомендации CONSORT-AI и DECIDE-AI направлены на повышение полноты отчётности и качества ранней клинической оценки ИИ-систем [27, 25]. Для России обязательная проверка программ в нескольких разнородных клиниках, предусмотренная стандартами ГОСТ, является необходимым шагом.</w:t>
      </w:r>
    </w:p>
    <w:p w14:paraId="35BAF78F" w14:textId="77777777" w:rsidR="000D7718" w:rsidRPr="009D7BFF" w:rsidRDefault="008060A1"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b/>
        </w:rPr>
        <w:t>ЗАКЛЮЧЕНИЕ</w:t>
      </w:r>
    </w:p>
    <w:p w14:paraId="60B80C14" w14:textId="77777777" w:rsidR="005B6402" w:rsidRPr="009D7BFF" w:rsidRDefault="005B6402" w:rsidP="00490AFD">
      <w:pPr>
        <w:spacing w:after="0" w:line="240" w:lineRule="auto"/>
        <w:ind w:firstLine="709"/>
        <w:jc w:val="both"/>
        <w:rPr>
          <w:rFonts w:ascii="Times New Roman" w:hAnsi="Times New Roman" w:cs="Times New Roman"/>
          <w:i/>
          <w:iCs/>
        </w:rPr>
      </w:pPr>
      <w:r w:rsidRPr="009D7BFF">
        <w:rPr>
          <w:rFonts w:ascii="Times New Roman" w:eastAsia="Times New Roman" w:hAnsi="Times New Roman" w:cs="Times New Roman"/>
        </w:rPr>
        <w:t>Рассмотренные отечественные и связанные с российскими разработчиками ИИ-решения находятся на разных этапах — от разработки и демонстрационного прототипирования до пилотного применения и накопления клинических данных. Для большинства решений отсутствуют опубликованные результаты независимой многоцентровой валидации на педиатрических выборках. Количественные показатели качества доступны не для всех решений и в ряде случаев представлены только разработчиками. Для перехода к широкому внедрению ИИ в детскую медицину необходимы независимые исследования на разнородных педиатрических выборках, внешняя проверка переносимости моделей, прозрачная отчётность о методах и результатах, а также длительное наблюдение за клиническими исходами</w:t>
      </w:r>
    </w:p>
    <w:p w14:paraId="0FB44106" w14:textId="77777777" w:rsidR="005B6402" w:rsidRPr="009D7BFF" w:rsidRDefault="005B6402" w:rsidP="00490AFD">
      <w:pPr>
        <w:spacing w:after="0" w:line="240" w:lineRule="auto"/>
        <w:rPr>
          <w:rFonts w:ascii="Times New Roman" w:hAnsi="Times New Roman" w:cs="Times New Roman"/>
          <w:i/>
          <w:iCs/>
        </w:rPr>
      </w:pPr>
    </w:p>
    <w:p w14:paraId="112F29EC" w14:textId="77777777" w:rsidR="005B6402" w:rsidRPr="009D7BFF" w:rsidRDefault="005B6402" w:rsidP="00490AFD">
      <w:pPr>
        <w:spacing w:after="0" w:line="240" w:lineRule="auto"/>
        <w:jc w:val="center"/>
        <w:rPr>
          <w:rFonts w:ascii="Times New Roman" w:hAnsi="Times New Roman" w:cs="Times New Roman"/>
        </w:rPr>
      </w:pPr>
      <w:r w:rsidRPr="009D7BFF">
        <w:rPr>
          <w:rFonts w:ascii="Times New Roman" w:eastAsia="Times New Roman" w:hAnsi="Times New Roman" w:cs="Times New Roman"/>
          <w:b/>
        </w:rPr>
        <w:t>ЛИТЕРАТУРА</w:t>
      </w:r>
    </w:p>
    <w:p w14:paraId="5967F2B0"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Topol E.J. High-performance medicine: the convergence of human and artificial intelligence // Nature Medicine. — 2019. — Vol. 25, No. 1. — P. 44–56.</w:t>
      </w:r>
    </w:p>
    <w:p w14:paraId="03D62D5F"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Kelly C.J., Karthikesalingam A., Suleyman M. et al. Key challenges for delivering clinical impact with artificial intelligence // BMC Medicine. — 2019. — Vol. 17, No. 1. — Art. 195.</w:t>
      </w:r>
    </w:p>
    <w:p w14:paraId="4A974A69"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Министерство здравоохранения Российской Федерации. Материалы расширенного заседания коллегии Минздрава России «Об итогах работы Министерства здравоохранения Российской Федерации за 2025 год и задачах на 2026 год». — М., 17 апреля 2026 г. — URL: https://minzdrav.gov.ru/news/2026/04/17/30794-itogovaya-kollegiya-2025-i-plany-na-2026 (дата обращения: 17.06.2026).</w:t>
      </w:r>
    </w:p>
    <w:p w14:paraId="290E8120"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World Health Organization. Ethics and governance of artificial intelligence for health: WHO guidance. — Geneva : WHO, 2021. — 165 p.</w:t>
      </w:r>
    </w:p>
    <w:p w14:paraId="2C7C8071"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Bhargava H., Salomon C., Suresh S. et al. Promises, pitfalls, and clinical applications of artificial intelligence in pediatrics // Journal of Medical Internet Research (JMIR). — 2024. — Vol. 26. — Art. e49022.</w:t>
      </w:r>
    </w:p>
    <w:p w14:paraId="3F584465"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Obermeyer Z., Powers B., Vogeli C. et al. Dissecting racial bias in an algorithm used to manage the health of populations // Science. — 2019. — Vol. 366, No. 6464. — P. 447–453.</w:t>
      </w:r>
    </w:p>
    <w:p w14:paraId="3844AC43"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Goodman B., Flaxman S. European Union regulations on algorithmic decision-making and a right to explanation // AI Magazine. — 2017. — Vol. 38, No. 3. — P. 50–57.</w:t>
      </w:r>
    </w:p>
    <w:p w14:paraId="3D914A73"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Федеральный закон от 21.11.2011 № 323-ФЗ «Об основах охраны здоровья граждан в Российской Федерации».</w:t>
      </w:r>
    </w:p>
    <w:p w14:paraId="09E1FBE4"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Page M.J., McKenzie J.E., Bossuyt P.M. et al. The PRISMA 2020 statement: an updated guideline for reporting systematic reviews // BMJ. — 2021. — Vol. 372. — Art. n71.</w:t>
      </w:r>
    </w:p>
    <w:p w14:paraId="3D8912B3"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lastRenderedPageBreak/>
        <w:t>Whiting P.F., Rutjes A.W., Westwood M.E. et al. QUADAS-2: a revised tool for the quality assessment of diagnostic accuracy studies // Annals of Internal Medicine. — 2011. — Vol. 155, No. 8. — P. 529–536.</w:t>
      </w:r>
    </w:p>
    <w:p w14:paraId="4E9F31B2"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Wells G.A., Shea B., O'Connell D. et al. The Newcastle-Ottawa Scale (NOS) for assessing the quality of nonrandomised studies in meta-analyses // Ottawa Hospital Research Institute. — 2000.</w:t>
      </w:r>
    </w:p>
    <w:p w14:paraId="4C425D3E"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Резников Д.Н., Кулиговский Д.В., Воронцова И.Г. и др. Применение искусственного интеллекта для оценки костного возраста в Российской медицине: опыт хакатона // Диагностическая и интервенционная радиология. — 2024. — Т. 18, № 5. — С. 6–14.</w:t>
      </w:r>
    </w:p>
    <w:p w14:paraId="28FFFCB9"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Иванов Я.А., Мининков Д.С., Гущина Д.А., Ельцин А.Г. Сравнение различных методик определения «костного возраста» по рентгенограммам кисти у пациентов с активными зонами роста с антеромедиальной нестабильностью коленного сустава // Гений ортопедии. — 2024. — Т. 30, № 1. — С. 67–75.</w:t>
      </w:r>
    </w:p>
    <w:p w14:paraId="7F8F1FF1"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Андрейченко А.Е., Кафтанов А.Н., Гусев А.В. Методика оценки качества данных электронных медицинских карт // Врач и информационные технологии. — 2024. — № 4. — С. 48–59.</w:t>
      </w:r>
    </w:p>
    <w:p w14:paraId="30C95F7B"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Нероев В.В., Брагин А.А., Зайцева О.В. Разработка прототипа сервиса для диагностики диабетической ретинопатии по снимкам глазного дна // Национальное здравоохранение. — 2021. — Т. 2, № 2. — С. 64–72.</w:t>
      </w:r>
    </w:p>
    <w:p w14:paraId="3860C022"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Федеральная служба по надзору в сфере здравоохранения. Государственный реестр медицинских изделий. — URL: https://roszdravnadzor.gov.ru/services/misearch (дата обращения: 15.04.2026).</w:t>
      </w:r>
    </w:p>
    <w:p w14:paraId="72B7B902"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Поздняков А.В., Бусыгина Ю.А. Применение нейросетевых алгоритмов сегментации МРТ головного мозга новорождённых при подозрении на патологию ЦНС. — Habr (Yandex Cloud blog), 2025. — URL: https://habr.com/ru/companies/yandex/articles/940552/ (дата обращения: 17.06.2026).</w:t>
      </w:r>
    </w:p>
    <w:p w14:paraId="0D4167B5"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Проект Яндекса для ранней диагностики ДЦП у новорождённых признан лучшим на премии «Цифровые решения» // Официальные пресс-релизы Yandex Cloud. — 2025. — URL: https://yandex.ru/news (дата обращения: 17.06.2026).</w:t>
      </w:r>
    </w:p>
    <w:p w14:paraId="21344679"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Официальные материалы и технические спецификации платформы ЦЕЛЬС® (ООО «Медицинские скрининг системы»). — 2025. — URL: https://celsus.ai (дата обращения: 17.06.2026).</w:t>
      </w:r>
    </w:p>
    <w:p w14:paraId="6D8060E1"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Chen Y., Roberts C.S., Ou W. et al. Deep learning for classification of pediatric chest radiographs by WHO’s standardized methodology // PLOS ONE. — 2021. — Vol. 16, No. 6. — Art. e0253239.</w:t>
      </w:r>
    </w:p>
    <w:p w14:paraId="7111782B" w14:textId="77777777" w:rsidR="005B6402" w:rsidRPr="009D7BFF" w:rsidRDefault="005B6402" w:rsidP="00490AFD">
      <w:pPr>
        <w:numPr>
          <w:ilvl w:val="0"/>
          <w:numId w:val="5"/>
        </w:numPr>
        <w:spacing w:after="0" w:line="240" w:lineRule="auto"/>
        <w:rPr>
          <w:rFonts w:ascii="Times New Roman" w:hAnsi="Times New Roman" w:cs="Times New Roman"/>
        </w:rPr>
      </w:pPr>
      <w:r w:rsidRPr="009D7BFF">
        <w:rPr>
          <w:rFonts w:ascii="Times New Roman" w:eastAsia="Times New Roman" w:hAnsi="Times New Roman" w:cs="Times New Roman"/>
        </w:rPr>
        <w:t>Разработчики Центра искусственного интеллекта НГУ создали прототип системы «Цифровой помощник врача «Доктор Пирогов»» // Новости Новосибирского государственного университета. — 06.10.2025. — URL: https://www.nsu.ru/n/media/news/nauka/razrabotchiki-tsentra-iskusstvennogo-intellekta-ngu-sozdali-prototip-sistemy-tsifrovoy-pomoshchnik-v/ (дата обращения: 17.06.2026).</w:t>
      </w:r>
    </w:p>
    <w:p w14:paraId="463C0122"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Gräfe D., Beeskow A.B., Pfäffle R. et al. Automated bone age assessment in a German pediatric cohort: agreement between an artificial intelligence software and the manual Greulich and Pyle method // European Radiology. — 2024. — Vol. 34, No. 4. — P. 4407–4413.</w:t>
      </w:r>
    </w:p>
    <w:p w14:paraId="07044468"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Ramanathan A., Athikarisamy S.E., Lam G.C. Artificial intelligence for the diagnosis of retinopathy of prematurity: A systematic review of current algorithms // Eye. — 2023. — Vol. 37, No. 12. — P. 2518–2526.</w:t>
      </w:r>
    </w:p>
    <w:p w14:paraId="49C0EF18"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lastRenderedPageBreak/>
        <w:t>Finlayson S.G., Subbaswamy A., Singh K. et al. The clinician and dataset shift in artificial intelligence // New England Journal of Medicine. — 2021. — Vol. 385, No. 3. — P. 283–286.</w:t>
      </w:r>
    </w:p>
    <w:p w14:paraId="09A15718"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Vasey B., Nagendran M., Campbell B. et al. Reporting guideline for the early-stage clinical evaluation of decision support systems driven by artificial intelligence: DECIDE-AI // Nature Medicine. — 2022. — Vol. 28, No. 5. — P. 924–933.</w:t>
      </w:r>
    </w:p>
    <w:p w14:paraId="0D96F25D"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Nagendran M., Chen Y., Lovejoy C.A. et al. Artificial intelligence versus clinicians: systematic review of design, reporting standards, and claims of deep learning studies in medical imaging // BMJ. — 2020. — Vol. 368. — Art. m689.</w:t>
      </w:r>
    </w:p>
    <w:p w14:paraId="72DC8790" w14:textId="77777777" w:rsidR="005B6402" w:rsidRPr="009D7BFF" w:rsidRDefault="005B6402" w:rsidP="00490AFD">
      <w:pPr>
        <w:numPr>
          <w:ilvl w:val="0"/>
          <w:numId w:val="5"/>
        </w:num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Liu X., Cruz Rivera S., Moher D. et al. Reporting guidelines for clinical trial reports for interventions involving artificial intelligence: the CONSORT-AI extension // Nature Medicine. — 2020. — Vol. 26, No. 9. — P. 1364–1374.</w:t>
      </w:r>
    </w:p>
    <w:p w14:paraId="11499ED8" w14:textId="77777777" w:rsidR="005B6402" w:rsidRPr="009D7BFF" w:rsidRDefault="005B6402" w:rsidP="00490AFD">
      <w:pPr>
        <w:spacing w:after="0" w:line="240" w:lineRule="auto"/>
        <w:rPr>
          <w:rFonts w:ascii="Times New Roman" w:hAnsi="Times New Roman" w:cs="Times New Roman"/>
          <w:i/>
          <w:iCs/>
          <w:lang w:val="en-US"/>
        </w:rPr>
      </w:pPr>
    </w:p>
    <w:p w14:paraId="505F7DF0" w14:textId="77777777" w:rsidR="004B5FC3" w:rsidRPr="009D7BFF" w:rsidRDefault="005B6402" w:rsidP="00490AFD">
      <w:pPr>
        <w:spacing w:after="0" w:line="240" w:lineRule="auto"/>
        <w:jc w:val="center"/>
        <w:rPr>
          <w:rFonts w:ascii="Times New Roman" w:hAnsi="Times New Roman" w:cs="Times New Roman"/>
          <w:b/>
          <w:bCs/>
          <w:i/>
          <w:iCs/>
        </w:rPr>
      </w:pPr>
      <w:r w:rsidRPr="009D7BFF">
        <w:rPr>
          <w:rFonts w:ascii="Times New Roman" w:eastAsia="Times New Roman" w:hAnsi="Times New Roman" w:cs="Times New Roman"/>
          <w:b/>
        </w:rPr>
        <w:t>СВЕДЕНИЯ ОБ АВТОРАХ</w:t>
      </w:r>
    </w:p>
    <w:p w14:paraId="7A6F463D" w14:textId="5559C90E" w:rsidR="007308F3" w:rsidRPr="009D7BFF" w:rsidRDefault="007308F3" w:rsidP="00490AFD">
      <w:pPr>
        <w:spacing w:after="0" w:line="240" w:lineRule="auto"/>
        <w:ind w:firstLine="709"/>
        <w:jc w:val="both"/>
        <w:rPr>
          <w:rFonts w:ascii="Times New Roman" w:hAnsi="Times New Roman" w:cs="Times New Roman"/>
          <w:b/>
          <w:bCs/>
          <w:i/>
          <w:iCs/>
        </w:rPr>
      </w:pPr>
      <w:r w:rsidRPr="009D7BFF">
        <w:rPr>
          <w:rFonts w:ascii="Times New Roman" w:eastAsia="Times New Roman" w:hAnsi="Times New Roman" w:cs="Times New Roman"/>
          <w:bCs/>
          <w:iCs/>
        </w:rPr>
        <w:t xml:space="preserve">Черкасов Илья Сергеевич, студент 1 курса педиатрического факультета, ФГБОУ ВО </w:t>
      </w:r>
      <w:r w:rsidR="001F5161" w:rsidRPr="009D7BFF">
        <w:rPr>
          <w:rFonts w:ascii="Times New Roman" w:eastAsia="Times New Roman" w:hAnsi="Times New Roman" w:cs="Times New Roman"/>
          <w:bCs/>
          <w:iCs/>
        </w:rPr>
        <w:t>«</w:t>
      </w:r>
      <w:r w:rsidRPr="009D7BFF">
        <w:rPr>
          <w:rFonts w:ascii="Times New Roman" w:eastAsia="Times New Roman" w:hAnsi="Times New Roman" w:cs="Times New Roman"/>
          <w:bCs/>
          <w:iCs/>
        </w:rPr>
        <w:t>Тверской ГМУ Минздрава России</w:t>
      </w:r>
      <w:r w:rsidR="001F5161" w:rsidRPr="009D7BFF">
        <w:rPr>
          <w:rFonts w:ascii="Times New Roman" w:eastAsia="Times New Roman" w:hAnsi="Times New Roman" w:cs="Times New Roman"/>
          <w:bCs/>
          <w:iCs/>
        </w:rPr>
        <w:t>»</w:t>
      </w:r>
      <w:r w:rsidRPr="009D7BFF">
        <w:rPr>
          <w:rFonts w:ascii="Times New Roman" w:eastAsia="Times New Roman" w:hAnsi="Times New Roman" w:cs="Times New Roman"/>
          <w:bCs/>
          <w:iCs/>
        </w:rPr>
        <w:t>; +79965029396; e-mail: reqests@yandex.ru; ORCID: XXXX-XXXX-XXXX-XXXX</w:t>
      </w:r>
    </w:p>
    <w:p w14:paraId="19E67B23" w14:textId="77777777" w:rsidR="005B6402" w:rsidRPr="009D7BFF" w:rsidRDefault="005B6402" w:rsidP="00490AFD">
      <w:pPr>
        <w:spacing w:after="0" w:line="240" w:lineRule="auto"/>
        <w:ind w:firstLine="709"/>
        <w:jc w:val="both"/>
        <w:rPr>
          <w:rFonts w:ascii="Times New Roman" w:hAnsi="Times New Roman" w:cs="Times New Roman"/>
          <w:b/>
          <w:bCs/>
          <w:i/>
          <w:iCs/>
        </w:rPr>
      </w:pPr>
      <w:r w:rsidRPr="009D7BFF">
        <w:rPr>
          <w:rFonts w:ascii="Times New Roman" w:eastAsia="Times New Roman" w:hAnsi="Times New Roman" w:cs="Times New Roman"/>
          <w:bCs/>
          <w:iCs/>
        </w:rPr>
        <w:t>Бордина Галина Евгеньевна, доцент кафедры химии ФГБОУ ВО «Тверской ГМУ Минздрава России»; +79105334356; e-mail: gbordina@yandex.ru; ORCID: 0000-0001-6375-7981</w:t>
      </w:r>
    </w:p>
    <w:p w14:paraId="3A0EB3A0" w14:textId="77777777" w:rsidR="005B6402" w:rsidRPr="009D7BFF" w:rsidRDefault="005B6402" w:rsidP="00490AFD">
      <w:pPr>
        <w:spacing w:after="0" w:line="240" w:lineRule="auto"/>
        <w:ind w:firstLine="709"/>
        <w:jc w:val="both"/>
        <w:rPr>
          <w:rFonts w:ascii="Times New Roman" w:hAnsi="Times New Roman" w:cs="Times New Roman"/>
          <w:b/>
          <w:bCs/>
          <w:i/>
          <w:iCs/>
        </w:rPr>
      </w:pPr>
      <w:r w:rsidRPr="009D7BFF">
        <w:rPr>
          <w:rFonts w:ascii="Times New Roman" w:eastAsia="Times New Roman" w:hAnsi="Times New Roman" w:cs="Times New Roman"/>
          <w:bCs/>
          <w:iCs/>
        </w:rPr>
        <w:t>Лопина Надежда Петровна, профессор, доцент кафедры химии ФГБОУ ВО «Тверской ГМУ Минздрава России»; +79109321678; e-mail: n.lopina@internet.ru; ORCID: 0000-0002-7213-1531</w:t>
      </w:r>
    </w:p>
    <w:p w14:paraId="610DC6A8" w14:textId="77777777" w:rsidR="000D7718" w:rsidRPr="009D7BFF" w:rsidRDefault="000D7718" w:rsidP="00490AFD">
      <w:pPr>
        <w:spacing w:after="0" w:line="240" w:lineRule="auto"/>
        <w:rPr>
          <w:rFonts w:ascii="Times New Roman" w:hAnsi="Times New Roman" w:cs="Times New Roman"/>
        </w:rPr>
      </w:pPr>
    </w:p>
    <w:p w14:paraId="688B0A73"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Analysis of the implementation of artificial intelligence technologies in Russian pediatric practice: clinical and regulatory aspects</w:t>
      </w:r>
    </w:p>
    <w:p w14:paraId="391CBB70" w14:textId="77777777" w:rsidR="000D7718" w:rsidRPr="009D7BFF" w:rsidRDefault="000D7718" w:rsidP="00490AFD">
      <w:pPr>
        <w:spacing w:after="0" w:line="240" w:lineRule="auto"/>
        <w:rPr>
          <w:rFonts w:ascii="Times New Roman" w:hAnsi="Times New Roman" w:cs="Times New Roman"/>
          <w:lang w:val="en-US"/>
        </w:rPr>
      </w:pPr>
    </w:p>
    <w:p w14:paraId="1E4F937A"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I.S. Cherkasov, 1st-year student, G.E. Bordina, Associate Professor, N.P. Lopina, Professor</w:t>
      </w:r>
    </w:p>
    <w:p w14:paraId="6DD9765A"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1 Pediatric Faculty, Tver State Medical University of the Ministry of Health of the Russian Federation, ul. Sovetskaya 4, Tver, 170100, Russia; e-mail: reqests@yandex.ru</w:t>
      </w:r>
    </w:p>
    <w:p w14:paraId="4A9E3C07"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2 Department of Chemistry, Tver State Medical University of the Ministry of Health of the Russian Federation, ul. Sovetskaya 4, Tver, 170100, Russia; e-mail: gbordina@yandex.ru; n.lopina@internet.ru</w:t>
      </w:r>
    </w:p>
    <w:p w14:paraId="3371B096" w14:textId="77777777" w:rsidR="000D7718" w:rsidRPr="009D7BFF" w:rsidRDefault="000D7718" w:rsidP="00490AFD">
      <w:pPr>
        <w:spacing w:after="0" w:line="240" w:lineRule="auto"/>
        <w:rPr>
          <w:rFonts w:ascii="Times New Roman" w:hAnsi="Times New Roman" w:cs="Times New Roman"/>
          <w:lang w:val="en-US"/>
        </w:rPr>
      </w:pPr>
    </w:p>
    <w:p w14:paraId="2B902E61" w14:textId="77777777" w:rsidR="000D7718" w:rsidRPr="009D7BFF" w:rsidRDefault="008060A1" w:rsidP="00490AFD">
      <w:pPr>
        <w:spacing w:after="0" w:line="240" w:lineRule="auto"/>
        <w:jc w:val="center"/>
        <w:rPr>
          <w:rFonts w:ascii="Times New Roman" w:hAnsi="Times New Roman" w:cs="Times New Roman"/>
          <w:lang w:val="en-US"/>
        </w:rPr>
      </w:pPr>
      <w:r w:rsidRPr="009D7BFF">
        <w:rPr>
          <w:rFonts w:ascii="Times New Roman" w:eastAsia="Times New Roman" w:hAnsi="Times New Roman" w:cs="Times New Roman"/>
          <w:b/>
          <w:lang w:val="en-US"/>
        </w:rPr>
        <w:t>Abstract</w:t>
      </w:r>
    </w:p>
    <w:p w14:paraId="55500871"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Russian experience in implementing artificial intelligence (AI) in pediatrics and neonatology is systematized. Based on a review of 27 sources (mainly 2019–2026) and the Roszdravnadzor state registry, the clinical efficacy, risk classes, and limitations of registered software are evaluated. Domestic developments focus on medical image analysis (bone age determination on X-rays, fundus assessment for retinopathy) and automated disease forecasting using electronic health records. Most systems remain in the pilot testing and data accumulation phase. Key barriers to pediatric AI implementation include small training datasets, risk of accuracy loss due to dataset shift across different equipment, and a lack of long-term patient follow-up.</w:t>
      </w:r>
    </w:p>
    <w:p w14:paraId="7A60C2A5" w14:textId="77777777" w:rsidR="000D7718" w:rsidRPr="009D7BFF" w:rsidRDefault="000D7718" w:rsidP="00490AFD">
      <w:pPr>
        <w:spacing w:after="0" w:line="240" w:lineRule="auto"/>
        <w:rPr>
          <w:rFonts w:ascii="Times New Roman" w:hAnsi="Times New Roman" w:cs="Times New Roman"/>
          <w:lang w:val="en-US"/>
        </w:rPr>
      </w:pPr>
    </w:p>
    <w:p w14:paraId="6D182DD9" w14:textId="77777777" w:rsidR="000D7718" w:rsidRPr="009D7BFF" w:rsidRDefault="008060A1" w:rsidP="00490AFD">
      <w:pPr>
        <w:spacing w:after="0" w:line="240" w:lineRule="auto"/>
        <w:jc w:val="center"/>
        <w:rPr>
          <w:rFonts w:ascii="Times New Roman" w:hAnsi="Times New Roman" w:cs="Times New Roman"/>
          <w:lang w:val="en-US"/>
        </w:rPr>
      </w:pPr>
      <w:r w:rsidRPr="009D7BFF">
        <w:rPr>
          <w:rFonts w:ascii="Times New Roman" w:eastAsia="Times New Roman" w:hAnsi="Times New Roman" w:cs="Times New Roman"/>
          <w:b/>
          <w:lang w:val="en-US"/>
        </w:rPr>
        <w:t>Keywords:</w:t>
      </w:r>
    </w:p>
    <w:p w14:paraId="53A3CC0D"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artificial intelligence, pediatrics, neonatology, computer vision, image analysis, electronic health record, regulation, data quality</w:t>
      </w:r>
    </w:p>
    <w:p w14:paraId="4DD7F00E" w14:textId="77777777" w:rsidR="000D7718" w:rsidRPr="009D7BFF" w:rsidRDefault="000D7718" w:rsidP="00490AFD">
      <w:pPr>
        <w:spacing w:after="0" w:line="240" w:lineRule="auto"/>
        <w:rPr>
          <w:rFonts w:ascii="Times New Roman" w:hAnsi="Times New Roman" w:cs="Times New Roman"/>
          <w:lang w:val="en-US"/>
        </w:rPr>
      </w:pPr>
    </w:p>
    <w:p w14:paraId="7021210D" w14:textId="77777777" w:rsidR="000D7718" w:rsidRPr="009D7BFF" w:rsidRDefault="008060A1" w:rsidP="00490AFD">
      <w:pPr>
        <w:spacing w:after="0" w:line="240" w:lineRule="auto"/>
        <w:jc w:val="center"/>
        <w:rPr>
          <w:rFonts w:ascii="Times New Roman" w:hAnsi="Times New Roman" w:cs="Times New Roman"/>
          <w:lang w:val="en-US"/>
        </w:rPr>
      </w:pPr>
      <w:r w:rsidRPr="009D7BFF">
        <w:rPr>
          <w:rFonts w:ascii="Times New Roman" w:eastAsia="Times New Roman" w:hAnsi="Times New Roman" w:cs="Times New Roman"/>
          <w:b/>
          <w:lang w:val="en-US"/>
        </w:rPr>
        <w:t>REFERENCES</w:t>
      </w:r>
    </w:p>
    <w:p w14:paraId="41FDD301"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lastRenderedPageBreak/>
        <w:t>Topol E.J. High-performance medicine: the convergence of human and artificial intelligence. Nature Medicine, 2019, vol. 25, no. 1, pp. 44–56.</w:t>
      </w:r>
    </w:p>
    <w:p w14:paraId="41949AC4"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Kelly C.J., Karthikesalingam A., Suleyman M. et al. Key challenges for delivering clinical impact with artificial intelligence. BMC Medicine, 2019, vol. 17, no. 1, art. 195.</w:t>
      </w:r>
    </w:p>
    <w:p w14:paraId="7D021D07"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Ministry of Health of the Russian Federation. Materials of the expanded meeting of the board of the Ministry of Health of Russia "On the results of the work of the Ministry of Health of the Russian Federation for 2025 and tasks for 2026" [Materialy rasshirennogo zasedaniya kollegii Minzdrava Rossii "Ob itogakh raboty Ministerstva zdravookhraneniya Rossiyskoy Federatsii za 2025 god i zadachakh na 2026 god"]. Moscow, 17 April 2026. Available at: https://minzdrav.gov.ru/news/2026/04/17/30794-itogovaya-kollegiya-2025-i-plany-na-2026 (accessed 17.06.2026).</w:t>
      </w:r>
    </w:p>
    <w:p w14:paraId="55208EDA"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World Health Organization. Ethics and governance of artificial intelligence for health: WHO guidance. Geneva: WHO, 2021. 165 p.</w:t>
      </w:r>
    </w:p>
    <w:p w14:paraId="5D151E08"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Bhargava H., Salomon C., Suresh S., Chang A., Kilian R., van Stijn D., Oriol A., Low D., Knebel A., Taraman S. Promises, pitfalls, and clinical applications of artificial intelligence in pediatrics. Journal of Medical Internet Research (JMIR), 2024, vol. 26, art. e49022. DOI: 10.2196/49022.</w:t>
      </w:r>
    </w:p>
    <w:p w14:paraId="0E2DF4C6"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Obermeyer Z., Powers B., Vogeli C. et al. Dissecting racial bias in an algorithm used to manage the health of populations. Science, 2019, vol. 366, no. 6464, pp. 447–453.</w:t>
      </w:r>
    </w:p>
    <w:p w14:paraId="1413F792"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Goodman B., Flaxman S. European Union regulations on algorithmic decision-making and a right to explanation. AI Magazine, 2017, vol. 38, no. 3, pp. 50–57.</w:t>
      </w:r>
    </w:p>
    <w:p w14:paraId="5D0D52E3"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Federal Law No. 323-FZ of November 21, 2011 "On the Basics of Health Protection of Citizens in the Russian Federation" [Federal'ny zakon ot 21.11.2011 No. 323-FZ "Ob osnovakh okhrany zdorov'ya grazhdan v Rossiyskoy Federatsii"].</w:t>
      </w:r>
    </w:p>
    <w:p w14:paraId="6331A6CE"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Page M.J., McKenzie J.E., Bossuyt P.M. et al. The PRISMA 2020 statement: an updated guideline for reporting systematic reviews. BMJ, 2021, vol. 372, art. n71.</w:t>
      </w:r>
    </w:p>
    <w:p w14:paraId="02D90C99"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Whiting P.F., Rutjes A.W., Westwood M.E. et al. QUADAS-2: a revised tool for the quality assessment of diagnostic accuracy studies. Annals of Internal Medicine, 2011, vol. 155, no. 8, pp. 529–536.</w:t>
      </w:r>
    </w:p>
    <w:p w14:paraId="5BC5024D"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Wells G.A., Shea B., O'Connell D. et al. The Newcastle-Ottawa Scale (NOS) for assessing the quality of nonrandomised studies in meta-analyses. Ottawa Hospital Research Institute, 2000.</w:t>
      </w:r>
    </w:p>
    <w:p w14:paraId="2FF63112"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Reznikov D.N., Kuligovskiy D.V., Vorontsova I.G. et al. Application of artificial intelligence for bone age assessment in Russian medicine: hackathon experience [Primenenie iskusstvennogo intellekta dlya otsenki kostnogo vozrasta v Rossiyskoy meditsine: opyt khakatona]. Diagnosticheskaya i interventsionnaya radiologiya [Diagnostic and Interventional Radiology], 2024, vol. 18, no. 5, pp. 6–14.</w:t>
      </w:r>
    </w:p>
    <w:p w14:paraId="12C55C01"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Ivanov Ya.A., Mininkov D.S., Gushchina D.A., Eltsin A.G. Comparison of different methods for determining "bone age" by hand radiographs in patients with active growth zones and anteromedial knee instability [Sravnenie razlichnykh metodik opredeleniya "kostnogo vozrasta" po rentgenogrammam kisti u patsientov s aktivnymi zonami rosta s anteromedial'noy nestabil'nost'yu kolennogo sustava]. Geniy ortopedii [Genius of Orthopedics], 2024, vol. 30, no. 1, pp. 67–75.</w:t>
      </w:r>
    </w:p>
    <w:p w14:paraId="38674B62"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Andreychenko A.E., Kaftanov A.N., Gusev A.V. Methodology for evaluating the data quality of electronic health records [Metodika otsenki kachestva dannykh elektronnykh meditsinskikh kart]. Vrach i informatsionnye tekhnologii [Doctor and Information Technologies], 2024, no. 4, pp. 48–59.</w:t>
      </w:r>
    </w:p>
    <w:p w14:paraId="6DC3D134"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 xml:space="preserve">Neroev V.V., Bragin A.A., Zaytseva O.V. Development of a service prototype for diagnosing diabetic retinopathy from fundus images [Razrabotka prototipa servisa </w:t>
      </w:r>
      <w:r w:rsidRPr="009D7BFF">
        <w:rPr>
          <w:rFonts w:ascii="Times New Roman" w:eastAsia="Times New Roman" w:hAnsi="Times New Roman" w:cs="Times New Roman"/>
          <w:lang w:val="en-US"/>
        </w:rPr>
        <w:lastRenderedPageBreak/>
        <w:t>dlya diagnostiki diabeticheskoy retinopatii po snimkam glaznogo dna]. National Healthcare [Natsional'noe zdravookhranenie], 2021, vol. 2, no. 2, pp. 64–72. DOI: 10.47093/2713-069X.2021.2.2.64-72.</w:t>
      </w:r>
    </w:p>
    <w:p w14:paraId="0C3DB998"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Federal Service for Surveillance in Healthcare (Roszdravnadzor). State Registry of Medical Devices [Gosudarstvenny reestr meditsinskikh izdeliy]. Available at: https://roszdravnadzor.gov.ru/services/misearch (accessed 15.04.2026).</w:t>
      </w:r>
    </w:p>
    <w:p w14:paraId="3705BFE1"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Pozdnyakov A.V., Busygina Yu.A. Application of neural network algorithms for brain MRI segmentation in newborns with suspected CNS pathology [Primenenie neyrosetevykh algoritmov segmentatsii MRT golovnogo mozga novorozhdennykh pri podozrenii na patologiyu TsNS]. Habr (Yandex Cloud blog), 2025. Available at: https://habr.com/ru/companies/yandex/articles/940552/ (accessed 17.06.2026).</w:t>
      </w:r>
    </w:p>
    <w:p w14:paraId="729EF566"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Yandex project for early diagnosis of cerebral palsy in newborns won the "Digital Solutions" award [Proekt Yandeksa dlya ranney diagnostiki DTsP u novorozhdennykh priznan luchshim na premii "Tsifrovye resheniya"]. Official press releases of Yandex Cloud [Ofitsial'nye press-relizy Yandex Cloud], 2025. Available at: https://yandex.ru/news (accessed 17.06.2026).</w:t>
      </w:r>
    </w:p>
    <w:p w14:paraId="57394204"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Official materials and technical specifications of the TSELS® platform (LLC "Medical Screening Systems") [Ofitsial'nye materialy i tekhnicheskie spetsifikatsii platformy TSELS (OOO "Meditsinskie skrining sistemy")], 2025. Available at: https://celsus.ai (accessed 17.06.2026).</w:t>
      </w:r>
    </w:p>
    <w:p w14:paraId="4AA665F3"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Chen Y., Roberts C.S., Ou W., Petigara T., Goldmacher G.V., Fancourt N., Deloria Knoll M. Deep learning for classification of pediatric chest radiographs by WHO’s standardized methodology. PLOS ONE, 2021, vol. 16, no. 6, art. e0253239. DOI: 10.1371/journal.pone.0253239.</w:t>
      </w:r>
    </w:p>
    <w:p w14:paraId="6CA1F497"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NSU AI Center developers created a prototype of the Digital Doctor Assistant "Doctor Pirogov" system [Razrabotchiki Tsentra iskusstvennogo intellekta NGU sozdali prototip sistemy "Tsifrovoy pomoshchnik vracha "Doktor Pirogov""]. Novosibirsk State University News [Novosti Novosibirskogo gosudarstvennogo universiteta], 06.10.2025. Available at: https://www.nsu.ru/n/media/news/nauka/razrabotchiki-tsentra-iskusstvennogo-intellekta-ngu-sozdali-prototip-sistemy-tsifrovoy-pomoshchnik-v/ (accessed 17.06.2026).</w:t>
      </w:r>
    </w:p>
    <w:p w14:paraId="1C31327A"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Gräfe D., Beeskow A.B., Pfäffle R., Rosolowski M., Chung T.S., DiFranco M.D. Automated bone age assessment in a German pediatric cohort: agreement between an artificial intelligence software and the manual Greulich and Pyle method. European Radiology, 2024, vol. 34, no. 4, pp. 4407–4413. DOI: 10.1007/s00330-023-10543-0.</w:t>
      </w:r>
    </w:p>
    <w:p w14:paraId="266A4245"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Ramanathan A., Athikarisamy S.E., Lam G.C. Artificial intelligence for the diagnosis of retinopathy of prematurity: a systematic review of current algorithms. Eye, 2023, vol. 37, no. 12, pp. 2518–2526. DOI: 10.1038/s41433-022-02366-y.</w:t>
      </w:r>
    </w:p>
    <w:p w14:paraId="557D23A3"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Finlayson S.G., Subbaswamy A., Singh K. et al. The clinician and dataset shift in artificial intelligence. New England Journal of Medicine, 2021, vol. 385, no. 3, pp. 283–286.</w:t>
      </w:r>
    </w:p>
    <w:p w14:paraId="3CCD0480"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Vasey B., Nagendran M., Campbell B. et al. Reporting guideline for the early-stage clinical evaluation of decision support systems driven by artificial intelligence: DECIDE-AI. Nature Medicine, 2022, vol. 28, no. 5, pp. 924–933.</w:t>
      </w:r>
    </w:p>
    <w:p w14:paraId="203265A3"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Nagendran M., Chen Y., Lovejoy C.A. et al. Artificial intelligence versus clinicians: systematic review of design, reporting standards, and claims of deep learning studies in medical imaging. BMJ, 2020, vol. 368, art. m689.</w:t>
      </w:r>
    </w:p>
    <w:p w14:paraId="4871EE76" w14:textId="77777777" w:rsidR="000D7718" w:rsidRPr="009D7BFF" w:rsidRDefault="008060A1" w:rsidP="00490AFD">
      <w:pPr>
        <w:numPr>
          <w:ilvl w:val="0"/>
          <w:numId w:val="7"/>
        </w:numPr>
        <w:spacing w:after="0" w:line="240" w:lineRule="auto"/>
        <w:rPr>
          <w:rFonts w:ascii="Times New Roman" w:eastAsia="Times New Roman" w:hAnsi="Times New Roman" w:cs="Times New Roman"/>
          <w:lang w:val="en-US"/>
        </w:rPr>
      </w:pPr>
      <w:r w:rsidRPr="009D7BFF">
        <w:rPr>
          <w:rFonts w:ascii="Times New Roman" w:eastAsia="Times New Roman" w:hAnsi="Times New Roman" w:cs="Times New Roman"/>
          <w:lang w:val="en-US"/>
        </w:rPr>
        <w:t xml:space="preserve">Liu X., Cruz Rivera S., Moher D., Calvert M.J., Denniston A.K. Reporting guidelines for clinical trial reports for interventions involving artificial intelligence: the </w:t>
      </w:r>
      <w:r w:rsidRPr="009D7BFF">
        <w:rPr>
          <w:rFonts w:ascii="Times New Roman" w:eastAsia="Times New Roman" w:hAnsi="Times New Roman" w:cs="Times New Roman"/>
          <w:lang w:val="en-US"/>
        </w:rPr>
        <w:lastRenderedPageBreak/>
        <w:t>CONSORT-AI extension. Nature Medicine, 2020, vol. 26, no. 9, pp. 1364–1374. DOI: 10.1038/s41591-020-1034-x.</w:t>
      </w:r>
    </w:p>
    <w:p w14:paraId="55D6134F" w14:textId="77777777" w:rsidR="000D7718" w:rsidRPr="009D7BFF" w:rsidRDefault="000D7718" w:rsidP="00490AFD">
      <w:pPr>
        <w:spacing w:after="0" w:line="240" w:lineRule="auto"/>
        <w:rPr>
          <w:rFonts w:ascii="Times New Roman" w:hAnsi="Times New Roman" w:cs="Times New Roman"/>
          <w:lang w:val="en-US"/>
        </w:rPr>
      </w:pPr>
    </w:p>
    <w:p w14:paraId="10AFB3DD" w14:textId="77777777" w:rsidR="000D7718" w:rsidRPr="009D7BFF" w:rsidRDefault="008060A1" w:rsidP="00490AFD">
      <w:pPr>
        <w:spacing w:after="0" w:line="240" w:lineRule="auto"/>
        <w:jc w:val="center"/>
        <w:rPr>
          <w:rFonts w:ascii="Times New Roman" w:hAnsi="Times New Roman" w:cs="Times New Roman"/>
          <w:lang w:val="en-US"/>
        </w:rPr>
      </w:pPr>
      <w:r w:rsidRPr="009D7BFF">
        <w:rPr>
          <w:rFonts w:ascii="Times New Roman" w:eastAsia="Times New Roman" w:hAnsi="Times New Roman" w:cs="Times New Roman"/>
          <w:b/>
          <w:lang w:val="en-US"/>
        </w:rPr>
        <w:t>INFORMATION ABOUT THE AUTHORS</w:t>
      </w:r>
    </w:p>
    <w:p w14:paraId="3F93E9EB"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Cherkasov Ilya Sergeevich — 1st-year student, Pediatric Faculty, Tver State Medical University of the Ministry of Health of the Russian Federation, ul. Sovetskaya 4, Tver, 170100, Russia; e-mail: reqests@yandex.ru</w:t>
      </w:r>
    </w:p>
    <w:p w14:paraId="2881C4E6" w14:textId="77777777" w:rsidR="000D7718" w:rsidRPr="009D7BFF" w:rsidRDefault="008060A1" w:rsidP="00490AFD">
      <w:pPr>
        <w:spacing w:after="0" w:line="240" w:lineRule="auto"/>
        <w:rPr>
          <w:rFonts w:ascii="Times New Roman" w:hAnsi="Times New Roman" w:cs="Times New Roman"/>
          <w:lang w:val="en-US"/>
        </w:rPr>
      </w:pPr>
      <w:r w:rsidRPr="009D7BFF">
        <w:rPr>
          <w:rFonts w:ascii="Times New Roman" w:eastAsia="Times New Roman" w:hAnsi="Times New Roman" w:cs="Times New Roman"/>
          <w:lang w:val="en-US"/>
        </w:rPr>
        <w:t>Bordina Galina Evgenievna — Associate Professor, Department of Chemistry, Tver State Medical University of the Ministry of Health of the Russian Federation, ul. Sovetskaya 4, Tver, 170100, Russia; e-mail: gbordina@yandex.ru</w:t>
      </w:r>
    </w:p>
    <w:p w14:paraId="156B6DF2" w14:textId="77777777" w:rsidR="000D7718" w:rsidRPr="009D7BFF" w:rsidRDefault="008060A1" w:rsidP="00490AFD">
      <w:pPr>
        <w:spacing w:after="0" w:line="240" w:lineRule="auto"/>
        <w:rPr>
          <w:rFonts w:ascii="Times New Roman" w:hAnsi="Times New Roman" w:cs="Times New Roman"/>
        </w:rPr>
      </w:pPr>
      <w:r w:rsidRPr="009D7BFF">
        <w:rPr>
          <w:rFonts w:ascii="Times New Roman" w:eastAsia="Times New Roman" w:hAnsi="Times New Roman" w:cs="Times New Roman"/>
          <w:lang w:val="en-US"/>
        </w:rPr>
        <w:t xml:space="preserve">Lopina Nadezhda Petrovna — Professor, Department of Chemistry, Tver State Medical University of the Ministry of Health of the Russian Federation, ul. </w:t>
      </w:r>
      <w:r w:rsidRPr="009D7BFF">
        <w:rPr>
          <w:rFonts w:ascii="Times New Roman" w:eastAsia="Times New Roman" w:hAnsi="Times New Roman" w:cs="Times New Roman"/>
        </w:rPr>
        <w:t>Sovetskaya 4, Tver, 170100, Russia; e-mail: n.lopina@internet.ru</w:t>
      </w:r>
    </w:p>
    <w:sectPr w:rsidR="000D7718" w:rsidRPr="009D7BFF">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51926" w14:textId="77777777" w:rsidR="002B57B1" w:rsidRDefault="002B57B1">
      <w:pPr>
        <w:spacing w:after="0" w:line="240" w:lineRule="auto"/>
      </w:pPr>
      <w:r>
        <w:separator/>
      </w:r>
    </w:p>
  </w:endnote>
  <w:endnote w:type="continuationSeparator" w:id="0">
    <w:p w14:paraId="482EE8D3" w14:textId="77777777" w:rsidR="002B57B1" w:rsidRDefault="002B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6A79" w14:textId="77777777" w:rsidR="00E123E3" w:rsidRDefault="00E123E3">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3223" w14:textId="77777777" w:rsidR="002B57B1" w:rsidRDefault="002B57B1">
      <w:pPr>
        <w:spacing w:after="0" w:line="240" w:lineRule="auto"/>
      </w:pPr>
      <w:r>
        <w:separator/>
      </w:r>
    </w:p>
  </w:footnote>
  <w:footnote w:type="continuationSeparator" w:id="0">
    <w:p w14:paraId="0E7120EB" w14:textId="77777777" w:rsidR="002B57B1" w:rsidRDefault="002B5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7EF0" w14:textId="77777777" w:rsidR="00E123E3" w:rsidRDefault="00E123E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7A60"/>
    <w:multiLevelType w:val="multilevel"/>
    <w:tmpl w:val="0840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F5A70"/>
    <w:multiLevelType w:val="multilevel"/>
    <w:tmpl w:val="9D5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67DD3"/>
    <w:multiLevelType w:val="multilevel"/>
    <w:tmpl w:val="B920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24088"/>
    <w:multiLevelType w:val="multilevel"/>
    <w:tmpl w:val="E5C6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F4807"/>
    <w:multiLevelType w:val="multilevel"/>
    <w:tmpl w:val="6E0E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272BE"/>
    <w:multiLevelType w:val="multilevel"/>
    <w:tmpl w:val="6E0E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5761">
    <w:abstractNumId w:val="3"/>
  </w:num>
  <w:num w:numId="2" w16cid:durableId="1596938943">
    <w:abstractNumId w:val="0"/>
  </w:num>
  <w:num w:numId="3" w16cid:durableId="1130518871">
    <w:abstractNumId w:val="2"/>
  </w:num>
  <w:num w:numId="4" w16cid:durableId="1925265693">
    <w:abstractNumId w:val="1"/>
  </w:num>
  <w:num w:numId="5" w16cid:durableId="1208179897">
    <w:abstractNumId w:val="5"/>
  </w:num>
  <w:num w:numId="6" w16cid:durableId="1514027567">
    <w:abstractNumId w:val="5"/>
  </w:num>
  <w:num w:numId="7" w16cid:durableId="1861046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02"/>
    <w:rsid w:val="00001101"/>
    <w:rsid w:val="0002592D"/>
    <w:rsid w:val="000353B5"/>
    <w:rsid w:val="00075BF1"/>
    <w:rsid w:val="000D7718"/>
    <w:rsid w:val="001A2139"/>
    <w:rsid w:val="001A4B2C"/>
    <w:rsid w:val="001C35E7"/>
    <w:rsid w:val="001D0151"/>
    <w:rsid w:val="001E1D30"/>
    <w:rsid w:val="001E3883"/>
    <w:rsid w:val="001F5161"/>
    <w:rsid w:val="002243E9"/>
    <w:rsid w:val="00224C4B"/>
    <w:rsid w:val="00242E84"/>
    <w:rsid w:val="00242FB8"/>
    <w:rsid w:val="00244E26"/>
    <w:rsid w:val="00255FC8"/>
    <w:rsid w:val="002B57B1"/>
    <w:rsid w:val="003328EF"/>
    <w:rsid w:val="003A7E66"/>
    <w:rsid w:val="003B2941"/>
    <w:rsid w:val="003E71E7"/>
    <w:rsid w:val="00455FC5"/>
    <w:rsid w:val="00475006"/>
    <w:rsid w:val="00490AFD"/>
    <w:rsid w:val="004A054C"/>
    <w:rsid w:val="004B3FEA"/>
    <w:rsid w:val="004B5FC3"/>
    <w:rsid w:val="004E1C46"/>
    <w:rsid w:val="004F66A1"/>
    <w:rsid w:val="0054189F"/>
    <w:rsid w:val="00567122"/>
    <w:rsid w:val="005852B2"/>
    <w:rsid w:val="005A6E43"/>
    <w:rsid w:val="005B6402"/>
    <w:rsid w:val="005E51F5"/>
    <w:rsid w:val="005E7BBD"/>
    <w:rsid w:val="005F5A1F"/>
    <w:rsid w:val="00615643"/>
    <w:rsid w:val="00627557"/>
    <w:rsid w:val="00666388"/>
    <w:rsid w:val="006B0588"/>
    <w:rsid w:val="006B1FBA"/>
    <w:rsid w:val="006F643F"/>
    <w:rsid w:val="007308F3"/>
    <w:rsid w:val="007A10B7"/>
    <w:rsid w:val="007C0A08"/>
    <w:rsid w:val="007C7E6E"/>
    <w:rsid w:val="007D1271"/>
    <w:rsid w:val="007E0EC9"/>
    <w:rsid w:val="008060A1"/>
    <w:rsid w:val="00810219"/>
    <w:rsid w:val="0082651F"/>
    <w:rsid w:val="00837A3A"/>
    <w:rsid w:val="00882E4A"/>
    <w:rsid w:val="0088308B"/>
    <w:rsid w:val="008C2BB4"/>
    <w:rsid w:val="00916F62"/>
    <w:rsid w:val="00922DA8"/>
    <w:rsid w:val="00925A47"/>
    <w:rsid w:val="0099071B"/>
    <w:rsid w:val="009D7BFF"/>
    <w:rsid w:val="00A317A8"/>
    <w:rsid w:val="00A41944"/>
    <w:rsid w:val="00A55895"/>
    <w:rsid w:val="00A640F4"/>
    <w:rsid w:val="00A7126E"/>
    <w:rsid w:val="00AE2E32"/>
    <w:rsid w:val="00AF7F91"/>
    <w:rsid w:val="00B12CF2"/>
    <w:rsid w:val="00B34C36"/>
    <w:rsid w:val="00B43E89"/>
    <w:rsid w:val="00B62681"/>
    <w:rsid w:val="00B96226"/>
    <w:rsid w:val="00BA1DC6"/>
    <w:rsid w:val="00BE6DB8"/>
    <w:rsid w:val="00BF062A"/>
    <w:rsid w:val="00C0286D"/>
    <w:rsid w:val="00C37B92"/>
    <w:rsid w:val="00C428DD"/>
    <w:rsid w:val="00C53EE0"/>
    <w:rsid w:val="00CC6109"/>
    <w:rsid w:val="00CD2760"/>
    <w:rsid w:val="00D2152F"/>
    <w:rsid w:val="00D417D3"/>
    <w:rsid w:val="00D51D05"/>
    <w:rsid w:val="00D62C55"/>
    <w:rsid w:val="00D7428D"/>
    <w:rsid w:val="00D826AD"/>
    <w:rsid w:val="00DA65FE"/>
    <w:rsid w:val="00DD5B6A"/>
    <w:rsid w:val="00DE3FB3"/>
    <w:rsid w:val="00DE4386"/>
    <w:rsid w:val="00E123E3"/>
    <w:rsid w:val="00E270DD"/>
    <w:rsid w:val="00EB52A5"/>
    <w:rsid w:val="00F11F02"/>
    <w:rsid w:val="00F30B2F"/>
    <w:rsid w:val="00F57BE7"/>
    <w:rsid w:val="00FA279B"/>
    <w:rsid w:val="00FC3A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86A9"/>
  <w15:chartTrackingRefBased/>
  <w15:docId w15:val="{13C4CB51-0C35-462E-84A3-B42A3171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B6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B6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B64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64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64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64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64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64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64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64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B64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B64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B64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B64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B64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6402"/>
    <w:rPr>
      <w:rFonts w:eastAsiaTheme="majorEastAsia" w:cstheme="majorBidi"/>
      <w:color w:val="595959" w:themeColor="text1" w:themeTint="A6"/>
    </w:rPr>
  </w:style>
  <w:style w:type="character" w:customStyle="1" w:styleId="80">
    <w:name w:val="Заголовок 8 Знак"/>
    <w:basedOn w:val="a0"/>
    <w:link w:val="8"/>
    <w:uiPriority w:val="9"/>
    <w:semiHidden/>
    <w:rsid w:val="005B64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6402"/>
    <w:rPr>
      <w:rFonts w:eastAsiaTheme="majorEastAsia" w:cstheme="majorBidi"/>
      <w:color w:val="272727" w:themeColor="text1" w:themeTint="D8"/>
    </w:rPr>
  </w:style>
  <w:style w:type="paragraph" w:styleId="a3">
    <w:name w:val="Title"/>
    <w:basedOn w:val="a"/>
    <w:next w:val="a"/>
    <w:link w:val="a4"/>
    <w:uiPriority w:val="10"/>
    <w:qFormat/>
    <w:rsid w:val="005B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64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64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B64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6402"/>
    <w:pPr>
      <w:spacing w:before="160"/>
      <w:jc w:val="center"/>
    </w:pPr>
    <w:rPr>
      <w:i/>
      <w:iCs/>
      <w:color w:val="404040" w:themeColor="text1" w:themeTint="BF"/>
    </w:rPr>
  </w:style>
  <w:style w:type="character" w:customStyle="1" w:styleId="22">
    <w:name w:val="Цитата 2 Знак"/>
    <w:basedOn w:val="a0"/>
    <w:link w:val="21"/>
    <w:uiPriority w:val="29"/>
    <w:rsid w:val="005B6402"/>
    <w:rPr>
      <w:i/>
      <w:iCs/>
      <w:color w:val="404040" w:themeColor="text1" w:themeTint="BF"/>
    </w:rPr>
  </w:style>
  <w:style w:type="paragraph" w:styleId="a7">
    <w:name w:val="List Paragraph"/>
    <w:basedOn w:val="a"/>
    <w:uiPriority w:val="34"/>
    <w:qFormat/>
    <w:rsid w:val="005B6402"/>
    <w:pPr>
      <w:ind w:left="720"/>
      <w:contextualSpacing/>
    </w:pPr>
  </w:style>
  <w:style w:type="character" w:styleId="a8">
    <w:name w:val="Intense Emphasis"/>
    <w:basedOn w:val="a0"/>
    <w:uiPriority w:val="21"/>
    <w:qFormat/>
    <w:rsid w:val="005B6402"/>
    <w:rPr>
      <w:i/>
      <w:iCs/>
      <w:color w:val="0F4761" w:themeColor="accent1" w:themeShade="BF"/>
    </w:rPr>
  </w:style>
  <w:style w:type="paragraph" w:styleId="a9">
    <w:name w:val="Intense Quote"/>
    <w:basedOn w:val="a"/>
    <w:next w:val="a"/>
    <w:link w:val="aa"/>
    <w:uiPriority w:val="30"/>
    <w:qFormat/>
    <w:rsid w:val="005B6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B6402"/>
    <w:rPr>
      <w:i/>
      <w:iCs/>
      <w:color w:val="0F4761" w:themeColor="accent1" w:themeShade="BF"/>
    </w:rPr>
  </w:style>
  <w:style w:type="character" w:styleId="ab">
    <w:name w:val="Intense Reference"/>
    <w:basedOn w:val="a0"/>
    <w:uiPriority w:val="32"/>
    <w:qFormat/>
    <w:rsid w:val="005B6402"/>
    <w:rPr>
      <w:b/>
      <w:bCs/>
      <w:smallCaps/>
      <w:color w:val="0F4761" w:themeColor="accent1" w:themeShade="BF"/>
      <w:spacing w:val="5"/>
    </w:rPr>
  </w:style>
  <w:style w:type="character" w:styleId="ac">
    <w:name w:val="Hyperlink"/>
    <w:basedOn w:val="a0"/>
    <w:uiPriority w:val="99"/>
    <w:unhideWhenUsed/>
    <w:rsid w:val="005B6402"/>
    <w:rPr>
      <w:color w:val="467886" w:themeColor="hyperlink"/>
      <w:u w:val="single"/>
    </w:rPr>
  </w:style>
  <w:style w:type="character" w:styleId="ad">
    <w:name w:val="Unresolved Mention"/>
    <w:basedOn w:val="a0"/>
    <w:uiPriority w:val="99"/>
    <w:semiHidden/>
    <w:unhideWhenUsed/>
    <w:rsid w:val="005B6402"/>
    <w:rPr>
      <w:color w:val="605E5C"/>
      <w:shd w:val="clear" w:color="auto" w:fill="E1DFDD"/>
    </w:rPr>
  </w:style>
  <w:style w:type="table" w:styleId="ae">
    <w:name w:val="Table Grid"/>
    <w:basedOn w:val="a1"/>
    <w:uiPriority w:val="39"/>
    <w:rsid w:val="00DE4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DE43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lopina@internet.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5332</Words>
  <Characters>30397</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Hush</dc:creator>
  <cp:keywords/>
  <dc:description/>
  <cp:lastModifiedBy>Dr Hush</cp:lastModifiedBy>
  <cp:revision>5</cp:revision>
  <cp:lastPrinted>2026-08-14T22:08:00Z</cp:lastPrinted>
  <dcterms:created xsi:type="dcterms:W3CDTF">2026-08-28T20:55:00Z</dcterms:created>
  <dcterms:modified xsi:type="dcterms:W3CDTF">2026-08-28T21:22:00Z</dcterms:modified>
</cp:coreProperties>
</file>