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2A44"/>
          <w:sz w:val="96"/>
          <w:szCs w:val="96"/>
        </w:rPr>
        <w:t xml:space="preserve">IGU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Intensive Gainz Unit</w:t>
      </w:r>
    </w:p>
    <w:p>
      <w:pPr>
        <w:spacing w:after="0" w:before="300"/>
        <w:jc w:val="center"/>
      </w:pPr>
      <w:r>
        <w:rPr>
          <w:b/>
          <w:bCs/>
          <w:color w:val="1F2A44"/>
          <w:sz w:val="40"/>
          <w:szCs w:val="40"/>
        </w:rPr>
        <w:t xml:space="preserve">Build-Out &amp; Hiring Action Plan</w:t>
      </w:r>
    </w:p>
    <w:p>
      <w:pPr>
        <w:spacing w:after="0" w:before="120"/>
        <w:jc w:val="center"/>
      </w:pPr>
      <w:r>
        <w:rPr>
          <w:i/>
          <w:iCs/>
          <w:color w:val="555555"/>
          <w:sz w:val="22"/>
          <w:szCs w:val="22"/>
        </w:rPr>
        <w:t xml:space="preserve">Roles, finances, agreements &amp; sequencing toward launch</w:t>
      </w:r>
    </w:p>
    <w:p>
      <w:pPr>
        <w:spacing w:after="0" w:before="1200"/>
        <w:jc w:val="center"/>
      </w:pPr>
      <w:r>
        <w:rPr>
          <w:color w:val="555555"/>
          <w:sz w:val="20"/>
          <w:szCs w:val="20"/>
        </w:rPr>
        <w:t xml:space="preserve">Prepared for Hasan  •  June 2026</w:t>
      </w:r>
    </w:p>
    <w:p>
      <w:pPr>
        <w:spacing w:before="40"/>
        <w:jc w:val="center"/>
      </w:pPr>
      <w:r>
        <w:rPr>
          <w:color w:val="555555"/>
          <w:sz w:val="20"/>
          <w:szCs w:val="20"/>
        </w:rPr>
        <w:t xml:space="preserve">Target public launch: 12 July 2026</w:t>
      </w:r>
    </w:p>
    <w:p>
      <w:pP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Working draft — not legal or financial advice. Confirm all Kuwait-law specifics with a licensed local lawyer and accountant.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Where IGU stands today</w:t>
      </w:r>
    </w:p>
    <w:p>
      <w:pPr>
        <w:spacing w:after="120"/>
      </w:pPr>
      <w:r>
        <w:t xml:space="preserve">IGU is a </w:t>
      </w:r>
      <w:r>
        <w:rPr>
          <w:b/>
          <w:bCs/>
        </w:rPr>
        <w:t xml:space="preserve">sole establishment</w:t>
      </w:r>
      <w:r>
        <w:t xml:space="preserve"> licensed for </w:t>
      </w:r>
      <w:r>
        <w:rPr>
          <w:b/>
          <w:bCs/>
        </w:rPr>
        <w:t xml:space="preserve">sports consultation services</w:t>
      </w:r>
      <w:r>
        <w:t xml:space="preserve"> in Kuwait — legally, the business is you, Hasan. The coaching platform is built and in pre-launch, with payments (Tap), client onboarding, PAR-Q medical screening, and a working coach/dietitian compensation engine already live. Public launch is targeted for 12 July 2026.</w:t>
      </w:r>
    </w:p>
    <w:p>
      <w:r>
        <w:t xml:space="preserve">You want to staff up: an in-house coaching team (IGU-approved, following IGU guidelines), software/finance/ops support, and a referral relationship with dietitians and physios. You intend to </w:t>
      </w:r>
      <w:r>
        <w:rPr>
          <w:b/>
          <w:bCs/>
        </w:rPr>
        <w:t xml:space="preserve">keep ownership</w:t>
      </w:r>
      <w:r>
        <w:t xml:space="preserve"> for now, but are open to sharing part of the profits with key contributors. This document is the master action list — what needs doing, why it matters, and in what order — across every aspect of standing the business up properly.</w:t>
      </w:r>
    </w:p>
    <w:p>
      <w:pPr>
        <w:spacing w:after="120"/>
      </w:pPr>
    </w:p>
    <w:p>
      <w:pPr>
        <w:pStyle w:val="Heading1"/>
      </w:pPr>
      <w:r>
        <w:t xml:space="preserve">2. Three structural facts that shape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C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</w:rPr>
              <w:t xml:space="preserve">A.  Sole establishment = unlimited personal liability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There is no corporate veil. Business debts and claims — including a coach's advice given under IGU's name — can reach your personal assets.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Consequences: airtight scope-of-practice and liability clauses in every staff/partner contract, professional liability insurance, and a planned path to a WLL once revenue justifies the cost.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</w:rPr>
              <w:t xml:space="preserve">B.  Your licence is your guardrail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Coaching fits squarely inside a sports-consultation licence. Nutrition (dietitians) and physiotherapy are regulated health activities that very likely fall OUTSIDE it.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Plan: keep coaches in-house under IGU; treat dietitians and physios as independent, separately-licensed referral partners who carry their own clinical liability. Verify exact scope with your licence authority before hiring either in-house.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</w:rPr>
              <w:t xml:space="preserve">C.  You can't issue equity in a sole establishment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There are no shares to give. For anyone you want as a 'partner,' the realistic tools are: (a) a profit-share / revenue-share contract (a % of defined revenue, no ownership), or (b) converting to a WLL later and granting real equity.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Put any equity promise in writing as a future conversion trigger — never a verbal handshake.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Master action list by workstream</w:t>
      </w:r>
    </w:p>
    <w:p>
      <w:pPr>
        <w:spacing w:after="140"/>
      </w:pPr>
      <w:r>
        <w:t xml:space="preserve">Six workstreams. Priority key: </w:t>
      </w:r>
      <w:r>
        <w:rPr>
          <w:b/>
          <w:bCs/>
        </w:rPr>
        <w:t xml:space="preserve">Now</w:t>
      </w:r>
      <w:r>
        <w:t xml:space="preserve"> (start immediately), </w:t>
      </w:r>
      <w:r>
        <w:rPr>
          <w:b/>
          <w:bCs/>
        </w:rPr>
        <w:t xml:space="preserve">Pre-launch</w:t>
      </w:r>
      <w:r>
        <w:t xml:space="preserve"> (before 12 Jul), </w:t>
      </w:r>
      <w:r>
        <w:rPr>
          <w:b/>
          <w:bCs/>
        </w:rPr>
        <w:t xml:space="preserve">Phased</w:t>
      </w:r>
      <w:r>
        <w:t xml:space="preserve"> (scale to demand).</w:t>
      </w:r>
    </w:p>
    <w:p>
      <w:pPr>
        <w:pStyle w:val="Heading2"/>
      </w:pPr>
      <w:r>
        <w:t xml:space="preserve">A. Legal &amp;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Engage a Kuwaiti corporate/commercial lawyer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Everything below depends on correct entity &amp; contract advice. This is the single first move.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 licence scope for each planned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Determines whether dietitian/physio can ever be in-house vs referral-only.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 the establishment can sponsor the staff you plan to hire (PAM file)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You can't legally employ in Kuwait without the right activity + sponsorship capacity.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Decide entity path: stay sole vs plan WLL conversion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Drives liability protection and your ability to give real equity later.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Draft template agreements (see §5)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Reusable contracts for every hire type; nothing signed without them.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Finalise client-facing legal: Terms, Privacy, PAR-Q waiver, refund policy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You hold health data and give fitness advice — assumption-of-risk &amp; disclaimers are essential.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 health-data (PHI) handling meets Kuwait requirements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PAR-Q + intake data is sensitive; mishandling is a liability and trust risk.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Put professional liability / indemnity insurance in 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Backstops the personal-liability exposure of a sole establishment.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 Finance &amp;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Open a dedicated business bank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Separate business from personal money — basic hygiene and audit-ability.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Engage an outsourced accountant / bookkeeper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Clean books, invoicing, Tap reconciliation, gratuity tracking from day 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 the financial model (revenue, payroll, gratuity, ops, runway, break-even)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Turns 'who can I afford' into a number tied to client volume.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Formalise the monthly coach/dietitian payout &amp; disbursement process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Engine exists in-app; the actual money-out and pay schedule must be defined.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 a gratuity / end-of-service reserve for employees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End-of-service indemnity is a real, accruing liability under Kuwait labour law.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Decide capital plan: how much you inject + target break-even 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Sets the runway the whole hiring plan must fit inside.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Review pricing vs market (links to §E)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Confirms tiers are competitive and margins hold.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C. People &amp; hiring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Lock the launch headcount (see §4)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Hire the minimum that makes launch safe — not the full org chart.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Recruit a lead/senior developer or dev partner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You are currently the single point of failure on a SaaS handling health data + payments.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Write role descriptions + an IGU Coaching Standards doc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standards become a signed annex so 'follow IGU guidelines' is enforceable.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Recruit Head Coach + initial coaches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Head Coach owns quality and unblocks you as the bottleneck; coaches hire to demand.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Line up referral-partner dietitian(s) and physio(s)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Adds nutrition/physio value without taking them in-house (licence + liability).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Decide partner(s) / profit-share participants &amp; terms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Your call: who, if anyone, shares profit — and on what conditions.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Founder decision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 outsourced/fractional: accountant, designer, marketing,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Scale these to traction rather than hiring ahead of revenue.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D. Pricing &amp;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Validate live pricing against Kuwait competitors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Confirms the 12 / 40 / 75 / 150 / 250 KWD ladder is positioned right.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 per-tier operations costs are 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Only Team Plan ops (2.0 KWD) is visible; others must be verified for true margin.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Pressure-test payout % vs take-home targets (Jr ~50 / Sr ~65 / Lead ~85)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Ensures coach pay is attractive yet leaves sustainable IGU profit.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Reconcile the CLAUDE.md documentation drift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 table still says 'hourly / Head Coach 5 KWD'; live model is flat / 7 KWD. Fix the doc.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Decide referral pricing for dietitian/physio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Sets the economics of the referral model before partners are signed.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E. Market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 Kuwait competitors &amp; their pricing (gyms, online coaches, apps)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Grounds positioning and the pricing review.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Benchmark coach compensation in the Kuwait market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Tells you whether IGU payouts attract the talent you want.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Estimate addressable market + realistic month 1-6 client volumes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revenue input the finance model needs to be real.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Validate acquisition channels (align with docs/marketing.md)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Confirms where the first clients actually come from.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F. Operations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 coach quality standards &amp; SOPs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Consistent client experience across every IGU coach.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Define client support process &amp; response SLAs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Support is usually the first thing to break at scale.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Define the medical escalation path (PAR-Q flagged → review)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flagged client must have a clear, safe handling route.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Set refund &amp; dispute handling rules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Avoids ad-hoc decisions and payment disputes.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Stand up a KPI / admin dashboard review cadence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Daily admin summary exists; turn it into a real operating rhythm.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Roles needed for initial launch</w:t>
      </w:r>
    </w:p>
    <w:p>
      <w:pPr>
        <w:spacing w:after="140"/>
      </w:pPr>
      <w:r>
        <w:t xml:space="preserve">Tiered so you hire the minimum that makes launch safe, then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6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Engagement model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Licence / scope 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Lead / Senior Developer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Remote independent contractor (USD), IP assigned to you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 role — outside service licence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Head Coach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 scope (sports consultation)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Coaches (Jr / Sr)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Employees, hire to demand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 scope (sports consultation)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Launch+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Dietitian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Referral partner (holds own licence)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Likely OUTSIDE licence — keep 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Near-term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Physiotherapist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Referral partner (holds own licence)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Regulated medical — keep 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Post-launch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Accountant / Bookkeeper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Outsourced firm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Designer / Marketing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Contractor / fractional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Employee or contractor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Launch+ (with volume)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Coaches specifically: </w:t>
      </w:r>
      <w:r>
        <w:t xml:space="preserve">because they are IGU-branded and must follow your guidelines, you exercise real control over how they work — which legally points to </w:t>
      </w:r>
      <w:r>
        <w:rPr>
          <w:b/>
          <w:bCs/>
        </w:rPr>
        <w:t xml:space="preserve">employee</w:t>
      </w:r>
      <w:r>
        <w:t xml:space="preserve">, not contractor. That's the right call for brand quality, but it carries gratuity obligations and means your coaching standards must be a signed annex to the contract.</w:t>
      </w:r>
    </w:p>
    <w:p>
      <w:r>
        <w:br w:type="page"/>
      </w:r>
    </w:p>
    <w:p>
      <w:pPr>
        <w:pStyle w:val="Heading1"/>
      </w:pPr>
      <w:r>
        <w:t xml:space="preserve">5. Agreements everyone needs to sign</w:t>
      </w:r>
    </w:p>
    <w:p>
      <w:pPr>
        <w:spacing w:after="140"/>
      </w:pPr>
      <w:r>
        <w:t xml:space="preserve">A mutual NDA plus one role-appropriate main contract covers about 90% of people. Have your lawyer produce these as reusable templates.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Agreement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clauses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Coaches (employees)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Employment contract + IGU Standards annex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Scope of practice; duty to follow IGU guidelines; confidentiality; IP; end-of-service gratuity; termination; non-solicitation of IGU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Developers / designers (remote)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Independent contractor / services agreement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IP assignment to you (critical); confidentiality; explicit no-employment relationship; payment terms; 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Dietitians / physios (referral)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Referral / partnership agreement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Partner holds own licence + clinical liability; referral terms/fees; IGU not liable for their advice; client data-sharing consent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Partners (profit-share)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Profit / revenue-share agreement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% and definition of revenue; no ownership; vesting or tenure condition; exit/dispute; trigger to convert to equity if a WLL is formed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Anyone touching client 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NDA + data-handling addendum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Confidentiality; PHI handling rules; return/destroy data on exit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Terms of Service + Liability Waiver + PAR-Q consent + Privacy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Assumption of risk; medical disclaimer; refund policy; data-processing consent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Recommended sequence</w:t>
      </w:r>
    </w:p>
    <w:p>
      <w:pPr>
        <w:spacing w:after="120"/>
      </w:pPr>
      <w:r>
        <w:t xml:space="preserve">Order matters because later steps depend on the lawyer's answers. Roughly: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 the lawyer and the accountant (week 1). Everything keys off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Lawyer confirms licence scope, sponsorship capacity, and entity path; begins drafting template agreements.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dedicated business bank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 launch headcount and start recruiting the developer (run in parallel with the legal 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financial model; set your capital injection and target break-even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market research; validate pricing and coach compensation against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Finalise the IGU Coaching Standards doc and coach onboarding/approval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agreements; line up referral dietitian(s) and physio(s).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professional liability insurance in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(12 July 2026).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C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</w:rPr>
              <w:t xml:space="preserve">The one thing to do this week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Engage a Kuwaiti corporate/commercial lawyer and brief them with §2 and the question list in Appendix B. Almost every other decision — entity, who you can hire, what contracts say, whether dietitian/physio can be in-house — flows from their answers.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A. Current pricing &amp; compensation (live in the platform)</w:t>
      </w:r>
    </w:p>
    <w:p>
      <w:pPr>
        <w:spacing w:after="140"/>
      </w:pPr>
      <w:r>
        <w:t xml:space="preserve">Pulled from the live model (</w:t>
      </w:r>
      <w:r>
        <w:rPr>
          <w:rFonts w:ascii="Courier New" w:cs="Courier New" w:eastAsia="Courier New" w:hAnsi="Courier New"/>
          <w:sz w:val="18"/>
          <w:szCs w:val="18"/>
        </w:rPr>
        <w:t xml:space="preserve">supabase/migrations/20260327_flat_payout_model.sql</w:t>
      </w:r>
      <w:r>
        <w:t xml:space="preserve">). All figures KWD per client per month. Coach/dietitian payouts are flat by professional level (Junior / Senior / Lead).</w:t>
      </w:r>
    </w:p>
    <w:p>
      <w:pPr>
        <w:pStyle w:val="Heading2"/>
      </w:pPr>
      <w:r>
        <w:t xml:space="preserve">Service tiers &amp; monthly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730"/>
        <w:gridCol w:w="273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Coach payout (Jr / Sr / Lead)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Dietitian payout (Jr / Sr / Lead)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Team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Head Coach flat 7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1:1 Online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 / 26 / 34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1:1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 / 26 / 34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 / 20 /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 / 80 / 105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 / 20 /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In-Person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250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105 / 140 / 185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 / 20 / 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Indicative IGU gross margin (Junior level, before per-tier ops cost)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1800"/>
        <w:gridCol w:w="1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Dietitian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Gross before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Team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5.0 (ops 2.0 → 3.0 profit)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1:1 Online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1:1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Hybrid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In-Person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130.0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Guardrails enforced by the payout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Minimum IGU profit: </w:t>
      </w:r>
      <w:r>
        <w:t xml:space="preserve">3 KWD on Team/Online, 5 KWD on premium tiers — a subscription is blocked if violated (admin can override).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Maximum discount: </w:t>
      </w:r>
      <w:r>
        <w:t xml:space="preserve">30%, applied proportionally across coach, dietitian and IGU — operations costs are never discounted.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Level restrictions: </w:t>
      </w:r>
      <w:r>
        <w:t xml:space="preserve">Lead Coach blocked from 1:1 Online; Lead+Lead blocked from 1:1 Complete (margin would breach the minimum).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Take-home targets: </w:t>
      </w:r>
      <w:r>
        <w:t xml:space="preserve">Junior ~50%, Senior ~65%, Lead ~85% of the client price.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2A44"/>
              </w:rPr>
              <w:t xml:space="preserve">Note on data freshness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Per-tier operations costs are only confirmed for Team Plan (2.0 KWD). The other tiers' ops costs live in the igu_operations_costs table and should be pulled live before the finance model treats any margin as final.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These rates are not fixed — you said they're fully open to adjustment. The finance model is where we test alternatives.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B. Questions to bring to the lawyer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my sole establishment, under its current sports-consultation activity, sponsor and employ coaches? What activities/permits would I need to add?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in-house dietitian or physiotherapy services require separate Ministry of Health licensing, or a different entity? Can I offer them at all under IGU as it stands?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dietitians/physios are referral partners holding their own licences, what does IGU need in the agreement to be clearly NOT liable for their clinical advice?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unlimited personal liability, at what point should I convert to a WLL, and what does that process and cost look like?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 coaches who follow my mandated guidelines legally employees rather than contractors? What are my gratuity and end-of-service obligations?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a profit-share agreement be enforceable without granting ownership in a sole establishment? How should an equity-on-conversion promise be written?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client-facing legal documents (Terms, Privacy, liability waiver, PAR-Q consent) do I need, and what does Kuwait law require for handling client health data?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are the rules for engaging remote international contractors (developers/designers) — any withholding, registration, or contract requirements on my side?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IGU — Build-Out &amp; Hiring Action Plan   |   </w:t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2026-06-11T14:23:26.745Z</dcterms:created>
  <dcterms:modified xsi:type="dcterms:W3CDTF">2026-06-11T14:23:26.745Z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