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2A44"/>
          <w:sz w:val="92"/>
          <w:szCs w:val="92"/>
        </w:rPr>
        <w:t xml:space="preserve">IGU</w:t>
      </w:r>
    </w:p>
    <w:p>
      <w:pPr>
        <w:spacing w:after="40"/>
        <w:jc w:val="center"/>
      </w:pPr>
      <w:r>
        <w:rPr>
          <w:color w:val="2E75B6"/>
          <w:sz w:val="26"/>
          <w:szCs w:val="26"/>
        </w:rPr>
        <w:t xml:space="preserve">Intensive Gainz Unit</w:t>
      </w:r>
    </w:p>
    <w:p>
      <w:pPr>
        <w:spacing w:before="280"/>
        <w:jc w:val="center"/>
      </w:pPr>
      <w:r>
        <w:rPr>
          <w:b/>
          <w:bCs/>
          <w:color w:val="1F2A44"/>
          <w:sz w:val="40"/>
          <w:szCs w:val="40"/>
        </w:rPr>
        <w:t xml:space="preserve">Business Build &amp; Growth Plan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Pricing, compensation, growth &amp; first team</w:t>
      </w:r>
    </w:p>
    <w:p>
      <w:pPr>
        <w:spacing w:before="1100"/>
        <w:jc w:val="center"/>
      </w:pPr>
      <w:r>
        <w:rPr>
          <w:color w:val="555555"/>
          <w:sz w:val="20"/>
          <w:szCs w:val="20"/>
        </w:rPr>
        <w:t xml:space="preserve">Prepared for Hasan  •  June 2026  •  Target launch 12 July 2026</w:t>
      </w:r>
    </w:p>
    <w:p>
      <w:pPr>
        <w:spacing w:before="360"/>
        <w:jc w:val="center"/>
      </w:pPr>
      <w:r>
        <w:rPr>
          <w:i/>
          <w:iCs/>
          <w:color w:val="888888"/>
          <w:sz w:val="15"/>
          <w:szCs w:val="15"/>
        </w:rPr>
        <w:t xml:space="preserve">Working plan, not legal or financial advice. KWD throughout. Numbers tie to the IGU pricing &amp; growth model (Excel).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00"/>
      </w:pPr>
      <w:r>
        <w:t xml:space="preserve">IGU is a Kuwait sole establishment licensed for sports consultation, launching a coaching platform on 12 July 2026 with zero outside capital. The strategy is deliberate: alluring, market-beating prices for clients, a generous cut for coaches, and a lean fixed cut for IGU — winning on volume and retention rather than thick per-client margin.</w:t>
      </w:r>
    </w:p>
    <w:p>
      <w:pPr>
        <w:spacing w:after="100"/>
      </w:pPr>
      <w:r>
        <w:t xml:space="preserve">This plan sets the full price ladder (coaching tiers by coach level, plus modular nutrition and physio add-ons), the compensation and incentive structure, an 18-month growth projection from zero clients, and the first team with concrete client-count milestones for each hire.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The model in one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Client price = coach pay + IGU's fixed keep + processing. Coaches and add-on professionals are paid out of each client's fee (a variable cost, self-funding), so IGU's only real fixed costs are software, marketing, an accountant, and — later — a developer and your own draw.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IGU nets ~10 KWD per coaching client per month (coaching only — nutrition/physio add-ons are treated as future upside, not counted yet). That single number drives the whole hiring plan: every fixed cost is just a client-count milestone away.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Structure, ownership &amp; legal</w:t>
      </w:r>
    </w:p>
    <w:p>
      <w:pPr>
        <w:spacing w:after="100"/>
      </w:pPr>
      <w:r>
        <w:rPr>
          <w:b/>
          <w:bCs/>
        </w:rPr>
        <w:t xml:space="preserve">IGU is a sole establishment — legally, the business is you. </w:t>
      </w:r>
      <w:r>
        <w:t xml:space="preserve">That means unlimited personal liability (no corporate veil) and no shares to issue, so 'partners' are handled via profit-share contracts now, with real equity only if you later convert to a WLL. Put any equity promise in writing as a future conversion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C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Licensing — the constraint that shapes the service mix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Coaching fits inside your sports-consultation licence. Keep coaches in-house as IGU employees, with your coaching standards as a signed contract annex.</w:t>
            </w:r>
          </w:p>
          <w:p>
            <w:pPr>
              <w:spacing w:after="40"/>
            </w:pPr>
            <w:r>
              <w:t xml:space="preserve">Nutrition (clinical dietetics) and physiotherapy are MOH-regulated health professions in Kuwait. </w:t>
            </w:r>
            <w:r>
              <w:rPr>
                <w:b/>
                <w:bCs/>
              </w:rPr>
              <w:t xml:space="preserve">Each professional needs an individual MOH licence, and the clinical versions generally require a licensed health facility. Your establishment almost certainly cannot offer these in-house under its current licence.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 dietitians and physios are structured as referral / partner add-ons: they hold their own licence and clinical liability, and IGU's role is the platform/referral layer. The one grey area — non-clinical 'lifestyle nutrition coaching' — needs a Kuwait healthcare lawyer to delineate. Confirm all of this before launching either add-on.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Pricing model</w:t>
      </w:r>
    </w:p>
    <w:p>
      <w:pPr>
        <w:pStyle w:val="Heading2"/>
      </w:pPr>
      <w:r>
        <w:t xml:space="preserve">Coaching ladder (KWD / month)</w:t>
      </w:r>
    </w:p>
    <w:p>
      <w:pPr>
        <w:spacing w:after="120"/>
      </w:pPr>
      <w:r>
        <w:t xml:space="preserve">Client price rises with coach level; junior is the alluring entry, Lead sits at or just below the old flat price. IGU keeps a fixed amount per service that eases slightly as the coach levels up. Coach pay is the remainder.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Junior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 (coach 6, IGU 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1:1 Online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 (coach 17, IGU 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  (coach 24, IGU 8)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  (coach 30, IGU 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  (coach 70, IGU 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110  (coach 88, IGU 17)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125  (coach 105, IGU 15)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In-Person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145  (coach 107, IGU 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175  (coach 141, IGU 26)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215  (coach 183, IGU 24)</w:t>
            </w:r>
          </w:p>
        </w:tc>
      </w:tr>
    </w:tbl>
    <w:p>
      <w:pPr>
        <w:spacing w:after="120" w:before="60"/>
      </w:pPr>
      <w:r>
        <w:t xml:space="preserve">Coach take-home runs ~57–87% of price — generous by market standards (gyms pay 30–60%), which is the point. Processing/ops (~3–8 KWD) sits inside IGU's keep.</w:t>
      </w:r>
    </w:p>
    <w:p>
      <w:pPr>
        <w:pStyle w:val="Heading2"/>
      </w:pPr>
      <w:r>
        <w:t xml:space="preserve">Add-ons (modular — referral partners)</w:t>
      </w:r>
    </w:p>
    <w:p>
      <w:pPr>
        <w:spacing w:after="120"/>
      </w:pPr>
      <w:r>
        <w:t xml:space="preserve">Dietitian and physio attach to any tier and carry their own price, professional payout and IGU keep — a second margin stream, only paid for by clients who want it. (Online + Nutrition ≈ 60 KWD recreates the old 'Complete' bundle, cheaper and optional.) These add-ons take time to stand up (licensing), so they are EXCLUDED from the growth and team counts below — they are pure upside when they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66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Add-on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 keeps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IGU keeps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Attach*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Nutrition (monthly)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Physio — remote rehab (monthly)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Physio — in-person (per session)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60–70%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referral</w:t>
            </w:r>
          </w:p>
        </w:tc>
      </w:tr>
    </w:tbl>
    <w:p>
      <w:pPr>
        <w:spacing w:before="60"/>
      </w:pPr>
      <w:r>
        <w:t xml:space="preserve">*Attach = share of active clients expected to add it. Splits drafted generous (~65–70% to the professional); the market norm is 40–60%, so there's room. Final structure pending the licensing sign-off above.</w:t>
      </w:r>
    </w:p>
    <w:p>
      <w:r>
        <w:br w:type="page"/>
      </w:r>
    </w:p>
    <w:p>
      <w:pPr>
        <w:pStyle w:val="Heading1"/>
      </w:pPr>
      <w:r>
        <w:t xml:space="preserve">4. Compensation &amp; incentives</w:t>
      </w:r>
    </w:p>
    <w:p>
      <w:pPr>
        <w:spacing w:after="100"/>
      </w:pPr>
      <w:r>
        <w:t xml:space="preserve">Backed by market research (Equinox-style tiering, OPEX/Two-Brain comp models, HBR on bonus design). The structure aligns coach effort with IGU profit — the better a coach performs, the more both earn.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— price tied to level: </w:t>
      </w:r>
      <w:r>
        <w:t xml:space="preserve">a coach's raise is funded by the higher price their level commands, not by eroding IGU's margin. No more blocking Lead coaches from cheap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Reward retention, not just sign-ups: </w:t>
      </w:r>
      <w:r>
        <w:t xml:space="preserve">a tenure kicker as clients pass 3 and 6 months, paid on a recurring/quarterly cycle — IGU is a subscription business, so coach pay should track client lifetime.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Bonus what coaches control: </w:t>
      </w:r>
      <w:r>
        <w:t xml:space="preserve">check-in completion and adherence — never raw client weight-loss (HBR: bonuses on uncontrollable outcomes demotivate).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progression: </w:t>
      </w:r>
      <w:r>
        <w:t xml:space="preserve">Junior → Senior → Lead on certs, tenure, retention rate and client results; promotion raises both the coach's pay and the price they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Upside: </w:t>
      </w:r>
      <w:r>
        <w:t xml:space="preserve">referral bonus for coaches who bring clients; a profit-share / per-member override for head coaches who run a team — your equity-style reward without issuing equity.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Coaches and add-on professionals are variable cost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They are paid out of each client's fee, so they never sit on IGU's fixed-cost line. This is what makes the zero-capital plan work — service delivery scales with revenue, and IGU's fixed costs stay tiny.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Growth plan from zero</w:t>
      </w:r>
    </w:p>
    <w:p>
      <w:pPr>
        <w:spacing w:after="120"/>
      </w:pPr>
      <w:r>
        <w:t xml:space="preserve">Coaching clients only (add-ons excluded). Assumptions (all editable): organic client adds ramping from ~20/month to ~30/month, 10% monthly churn, blended ARPU ~53 KWD, blended IGU net ~10 KWD/client. Zero starting capital.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Active clients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MRR (KWD)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IGU gross profit / 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 6 (Dec-26)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~5,400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~1,047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 12 (Jun-27)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~188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~9,900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~1,916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 18 (Dec-27)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~12,700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~2,453</w:t>
            </w:r>
          </w:p>
        </w:tc>
      </w:tr>
    </w:tbl>
    <w:p>
      <w:pPr>
        <w:spacing w:before="60"/>
      </w:pPr>
      <w:r>
        <w:t xml:space="preserve">Over 18 months IGU retains roughly </w:t>
      </w:r>
      <w:r>
        <w:rPr>
          <w:b/>
          <w:bCs/>
        </w:rPr>
        <w:t xml:space="preserve">23,000 KWD</w:t>
      </w:r>
      <w:r>
        <w:t xml:space="preserve"> before any founder draw or developer pay — coaching only. Because every coach is paid from client fees, the business is cash-positive from month one; the question is how fast the retained margin grows enough to fund salaries. Nutrition/physio add-ons, once launched, lift IGU's per-client margin by ~30% and pull every milestone forward.</w:t>
      </w:r>
    </w:p>
    <w:p>
      <w:r>
        <w:br w:type="page"/>
      </w:r>
    </w:p>
    <w:p>
      <w:pPr>
        <w:pStyle w:val="Heading1"/>
      </w:pPr>
      <w:r>
        <w:t xml:space="preserve">6. The first team &amp; client goals</w:t>
      </w:r>
    </w:p>
    <w:p>
      <w:pPr>
        <w:spacing w:after="120"/>
      </w:pPr>
      <w:r>
        <w:t xml:space="preserve">Two kinds of people. Service delivery (coaches, dietitians, physios) is paid from client fees — variable, self-funding, never a fixed cost. Support/back-office roles ARE fixed costs, so each one is a client-count milestone. Keep them minimal early: outsource, let the founder wear hats, and let the platform absorb load before hiring.</w:t>
      </w:r>
    </w:p>
    <w:p>
      <w:pPr>
        <w:pStyle w:val="Heading2"/>
      </w:pPr>
      <w:r>
        <w:t xml:space="preserve">Support functions &amp; how to staff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Finance &amp; accounting: </w:t>
      </w:r>
      <w:r>
        <w:t xml:space="preserve">invoicing, Tap reconciliation, payouts, gratuity accrual, tax/Zakat. Outsourced accountant (~100/mo) + you oversee; the platform auto-calculates payouts. A part-time finance hire only much later (~300+ clients).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support &amp; success: </w:t>
      </w:r>
      <w:r>
        <w:t xml:space="preserve">onboarding, questions, complaints, cancellations, retention. Breaks first at scale — your most important back-office hire. Founder + coaches + a shared inbox at launch; first dedicated hire mid-stage.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Operations &amp; admin: </w:t>
      </w:r>
      <w:r>
        <w:t xml:space="preserve">coach onboarding/approval, scheduling, content, vendors. Overlaps so heavily with support early that they merge into one Client Success &amp; Ops role as the first hire. Coaching quality is the head coach's job, not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Marketing &amp; growth: </w:t>
      </w:r>
      <w:r>
        <w:t xml:space="preserve">content, social, partnerships, lead-gen — the engine of the low-price/volume strategy. Founder's audience carries launch; formalise as a fractional/contractor hire, not salaried.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Tech: </w:t>
      </w:r>
      <w:r>
        <w:t xml:space="preserve">the developer (remote contractor) builds and maintains the platform — the one real fixed gap until margin covers it.</w:t>
      </w:r>
    </w:p>
    <w:p>
      <w:pPr>
        <w:spacing w:after="80"/>
      </w:pPr>
    </w:p>
    <w:p>
      <w:pPr>
        <w:pStyle w:val="Heading2"/>
      </w:pPr>
      <w:r>
        <w:t xml:space="preserve">Client-count goals per support hire</w:t>
      </w:r>
    </w:p>
    <w:p>
      <w:pPr>
        <w:spacing w:after="120"/>
      </w:pPr>
      <w:r>
        <w:t xml:space="preserve">Coaching clients only. Each fixed cost becomes a client target: clients = cumulative monthly cost ÷ ~10 KWD IGU net per client. Order = your priority; reorder in the model to change the milestones.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1500"/>
        <w:gridCol w:w="1500"/>
        <w:gridCol w:w="1700"/>
        <w:gridCol w:w="1400"/>
      </w:tblGrid>
      <w:tr>
        <w:trPr>
          <w:tblHeader/>
        </w:trP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 (in priority order)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Cumul. clients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≈ Month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Operating base (software, accountant, marketing/tools)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~Aug-26 (M2)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 Founder draw (initial)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~Aug-26 (M2)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 First partner draw (initial)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~Sep-26 (M3)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 Developer (contractor)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~May-27 (M11)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 Client Success &amp; Ops (1st support hire)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~Sep-27 (M15)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 Marketing contractor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Beyond M18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 Finance / admin (part-time)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Beyond M18</w:t>
            </w:r>
          </w:p>
        </w:tc>
      </w:tr>
    </w:tbl>
    <w:p>
      <w:pPr>
        <w:spacing w:before="60"/>
      </w:pPr>
      <w:r>
        <w:t xml:space="preserve">Keeping the founder and partner draws small (150 KWD each) at the start keeps cash free for hiring — so opex plus both draws are covered by ~month 3, and the developer becomes affordable around 170 clients (~month 11) instead of month 18. The first support hire follows ~month 15; marketing and finance sit just beyond the window on this ramp. 'Alone' shows what each role costs by itself — a developer is worth ~118 coaching clients of margin. Launching nutrition/physio add-ons later raises per-client margin ~30% and pulls everything forward. All costs and order are editable in the model.</w:t>
      </w:r>
    </w:p>
    <w:p>
      <w:pPr>
        <w:spacing w:after="80"/>
      </w:pPr>
    </w:p>
    <w:p>
      <w:pPr>
        <w:pStyle w:val="Heading2"/>
      </w:pPr>
      <w:r>
        <w:t xml:space="preserve">Founder &amp; partner compensation</w:t>
      </w:r>
    </w:p>
    <w:p>
      <w:pPr>
        <w:spacing w:after="100"/>
      </w:pPr>
      <w:r>
        <w:t xml:space="preserve">You retain ownership of IGU; the partner is a profit-share collaborator (no equity in a sole establishment — see Section 2). Two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Now: </w:t>
      </w:r>
      <w:r>
        <w:t xml:space="preserve">you and the partner each take a small fixed draw of 150 KWD/month — a deliberate floor that keeps cash in the business so the hires above land sooner.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Once all hires are complete: </w:t>
      </w:r>
      <w:r>
        <w:t xml:space="preserve">switch from fixed draws to a profit share — a percentage of net profit, so your incomes scale with the business and the business is never paying you more than it earns.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Recommended profit-share structure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Use profit share, not revenue share. </w:t>
            </w:r>
            <w:r>
              <w:t xml:space="preserve">A partner's pay should come off the bottom line (after all costs), not the top — so a lean month never forces a payout the business can't afford.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Distribute ~50–60% of net profit to the two of you combined, retain ~40–50% in the business </w:t>
            </w:r>
            <w:r>
              <w:t xml:space="preserve">for growth, a buffer, and your personal-liability exposure. As profit stabilises, push distribution toward ~70%.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Split 60/40 (you / partner) — the agreed split. </w:t>
            </w:r>
            <w:r>
              <w:t xml:space="preserve">Reflects that you own IGU and carry the personal liability, while recognising the partner as a core builder. Of net profit this lands at roughly you 36% / partner 24% / business retains 40% early 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Keep the 150 base draw as a floor, with profit share on top. Distribute quarterly; no distribution in a loss period and no clawback; tenure/vesting so an early exit is protected; and a written trigger to convert the share into real equity if you ever form a WLL.</w:t>
            </w:r>
          </w:p>
        </w:tc>
      </w:tr>
    </w:tbl>
    <w:p>
      <w:pPr>
        <w:spacing w:before="60"/>
      </w:pPr>
      <w:r>
        <w:t xml:space="preserve">Worked example: if mature net profit is ~3,000 KWD/month and you distribute 60%, that's ~1,800 split ~1,080 (you) / ~720 (partner), with ~1,200 retained — and it all grows automatically as profit grows. Put the terms in a written profit-share agreement and have the lawyer review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C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The volume-strategy caveat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Because IGU is cheap and high-volume, support load per KWD of revenue is higher than a premium model would carry. If churn or ticket volume climbs, pull the Client Success &amp; Ops hire earlier than the raw numbers suggest — it protects the retention the whole model depends 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Pre-launch checklist</w:t>
      </w:r>
    </w:p>
    <w:p>
      <w:pPr>
        <w:spacing w:after="120"/>
      </w:pPr>
      <w:r>
        <w:t xml:space="preserve">Everything to close before go-live on 12 July 2026, grouped by workstream. The lawyer engagement gates most of the legal items, so start it first.</w:t>
      </w:r>
    </w:p>
    <w:p>
      <w:pPr>
        <w:pStyle w:val="Heading2"/>
      </w:pPr>
      <w:r>
        <w:t xml:space="preserve">Legal &amp; structure</w:t>
      </w:r>
    </w:p>
    <w:p>
      <w:pPr>
        <w:spacing w:after="50"/>
        <w:ind w:left="160"/>
      </w:pPr>
      <w:r>
        <w:rPr>
          <w:sz w:val="20"/>
          <w:szCs w:val="20"/>
        </w:rPr>
        <w:t xml:space="preserve">☐  Engage a Kuwaiti corporate/healthcare lawyer; brief them with Section 2.</w:t>
      </w:r>
    </w:p>
    <w:p>
      <w:pPr>
        <w:spacing w:after="50"/>
        <w:ind w:left="160"/>
      </w:pPr>
      <w:r>
        <w:rPr>
          <w:sz w:val="20"/>
          <w:szCs w:val="20"/>
        </w:rPr>
        <w:t xml:space="preserve">☐  Confirm licence scope — coaching in-scope; get a ruling on dietitian/physio (MOH) and on where non-clinical lifestyle nutrition sits.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Confirm the establishment can sponsor/employ the coaches you plan to hire.</w:t>
      </w:r>
    </w:p>
    <w:p>
      <w:pPr>
        <w:spacing w:after="50"/>
        <w:ind w:left="160"/>
      </w:pPr>
      <w:r>
        <w:rPr>
          <w:sz w:val="20"/>
          <w:szCs w:val="20"/>
        </w:rPr>
        <w:t xml:space="preserve">☐  Draft &amp; sign: coach employment + IGU standards annex; developer contractor agreement (IP assigned to you); partner profit-share agreement (60/40, vesting, WLL-conversion trigger); mutual NDA; dietitian/physio referral-partner terms.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Client-facing legal: Terms of Service, Privacy Policy, PAR-Q medical waiver, refund policy.</w:t>
      </w:r>
    </w:p>
    <w:p>
      <w:pPr>
        <w:spacing w:after="50"/>
        <w:ind w:left="160"/>
      </w:pPr>
      <w:r>
        <w:rPr>
          <w:sz w:val="20"/>
          <w:szCs w:val="20"/>
        </w:rPr>
        <w:t xml:space="preserve">☐  Professional liability / indemnity insurance in place.</w:t>
      </w:r>
    </w:p>
    <w:p>
      <w:pPr>
        <w:pStyle w:val="Heading2"/>
      </w:pPr>
      <w:r>
        <w:t xml:space="preserve">Finance</w:t>
      </w:r>
    </w:p>
    <w:p>
      <w:pPr>
        <w:spacing w:after="50"/>
        <w:ind w:left="160"/>
      </w:pPr>
      <w:r>
        <w:rPr>
          <w:sz w:val="20"/>
          <w:szCs w:val="20"/>
        </w:rPr>
        <w:t xml:space="preserve">☐  Open a dedicated business bank account.</w:t>
      </w:r>
    </w:p>
    <w:p>
      <w:pPr>
        <w:spacing w:after="50"/>
        <w:ind w:left="160"/>
      </w:pPr>
      <w:r>
        <w:rPr>
          <w:sz w:val="20"/>
          <w:szCs w:val="20"/>
        </w:rPr>
        <w:t xml:space="preserve">☐  Engage an outsourced accountant / bookkeeper.</w:t>
      </w:r>
    </w:p>
    <w:p>
      <w:pPr>
        <w:spacing w:after="50"/>
        <w:ind w:left="160"/>
      </w:pPr>
      <w:r>
        <w:rPr>
          <w:sz w:val="20"/>
          <w:szCs w:val="20"/>
        </w:rPr>
        <w:t xml:space="preserve">☐  Confirm Tap's real transaction fee and true per-client infra cost (validate the ~3 KWD ops assumption).</w:t>
      </w:r>
    </w:p>
    <w:p>
      <w:pPr>
        <w:spacing w:after="50"/>
        <w:ind w:left="160"/>
      </w:pPr>
      <w:r>
        <w:rPr>
          <w:sz w:val="20"/>
          <w:szCs w:val="20"/>
        </w:rPr>
        <w:t xml:space="preserve">☐  Define the monthly coach/professional payout &amp; disbursement process.</w:t>
      </w:r>
    </w:p>
    <w:p>
      <w:pPr>
        <w:pStyle w:val="Heading2"/>
      </w:pPr>
      <w:r>
        <w:t xml:space="preserve">Pricing &amp; product</w:t>
      </w:r>
    </w:p>
    <w:p>
      <w:pPr>
        <w:spacing w:after="50"/>
        <w:ind w:left="160"/>
      </w:pPr>
      <w:r>
        <w:rPr>
          <w:sz w:val="20"/>
          <w:szCs w:val="20"/>
        </w:rPr>
        <w:t xml:space="preserve">☐  Load the pricing ladder (Section 3) into the platform; set Junior / Senior / Lead levels.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Define level-progression criteria (certs, tenure, retention rate, results) and who approves promotions.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Finalise the IGU Coaching Standards document (the signed contract annex).</w:t>
      </w:r>
    </w:p>
    <w:p>
      <w:pPr>
        <w:spacing w:after="50"/>
        <w:ind w:left="160"/>
      </w:pPr>
      <w:r>
        <w:rPr>
          <w:sz w:val="20"/>
          <w:szCs w:val="20"/>
        </w:rPr>
        <w:t xml:space="preserve">☐  Finalise the coach onboarding / approval flow.</w:t>
      </w:r>
    </w:p>
    <w:p>
      <w:pPr>
        <w:spacing w:after="50"/>
        <w:ind w:left="160"/>
      </w:pPr>
      <w:r>
        <w:rPr>
          <w:sz w:val="20"/>
          <w:szCs w:val="20"/>
        </w:rPr>
        <w:t xml:space="preserve">☐  Build the retention + adherence incentive rules into the payout process.</w:t>
      </w:r>
    </w:p>
    <w:p>
      <w:pPr>
        <w:pStyle w:val="Heading2"/>
      </w:pPr>
      <w:r>
        <w:t xml:space="preserve">People</w:t>
      </w:r>
    </w:p>
    <w:p>
      <w:pPr>
        <w:spacing w:after="50"/>
        <w:ind w:left="160"/>
      </w:pPr>
      <w:r>
        <w:rPr>
          <w:sz w:val="20"/>
          <w:szCs w:val="20"/>
        </w:rPr>
        <w:t xml:space="preserve">☐  Recruit the head coach and initial coaches.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Recruit the developer, or agree the interim plan (you continue, with revenue-share / equity-on-conversion).</w:t>
      </w:r>
    </w:p>
    <w:p>
      <w:pPr>
        <w:spacing w:after="50"/>
        <w:ind w:left="160"/>
      </w:pPr>
      <w:r>
        <w:rPr>
          <w:sz w:val="20"/>
          <w:szCs w:val="20"/>
        </w:rPr>
        <w:t xml:space="preserve">☐  Finalise and sign the partner profit-share agreement (60/40).</w:t>
      </w:r>
    </w:p>
    <w:p>
      <w:pPr>
        <w:pStyle w:val="Heading2"/>
      </w:pPr>
      <w:r>
        <w:t xml:space="preserve">Marketing &amp; ops</w:t>
      </w:r>
    </w:p>
    <w:p>
      <w:pPr>
        <w:spacing w:after="50"/>
        <w:ind w:left="160"/>
      </w:pPr>
      <w:r>
        <w:rPr>
          <w:sz w:val="20"/>
          <w:szCs w:val="20"/>
        </w:rPr>
        <w:t xml:space="preserve">☐  Waitlist conversion plan and launch communications.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Support inbox + first-line process; medical-escalation path for PAR-Q flags.</w:t>
      </w:r>
    </w:p>
    <w:p>
      <w:pPr>
        <w:spacing w:after="50"/>
        <w:ind w:left="160"/>
      </w:pPr>
      <w:r>
        <w:rPr>
          <w:sz w:val="20"/>
          <w:szCs w:val="20"/>
        </w:rPr>
        <w:t xml:space="preserve">☐  KPI / operating-review cadence (the platform's admin summary already exists).</w:t>
      </w:r>
    </w:p>
    <w:p>
      <w:r>
        <w:br w:type="page"/>
      </w:r>
    </w:p>
    <w:p>
      <w:pPr>
        <w:pStyle w:val="Heading1"/>
      </w:pPr>
      <w:r>
        <w:t xml:space="preserve">8. Milestone playbook</w:t>
      </w:r>
    </w:p>
    <w:p>
      <w:pPr>
        <w:spacing w:after="120"/>
      </w:pPr>
      <w:r>
        <w:t xml:space="preserve">What to do as you grow. Client counts are coaching clients; months assume the conservative ramp — they move if you grow faster or launch add-ons.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Launch — Jul-26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live on the pricing ladder. Coaches handle their own clients; you cover ops, support and development. Only fixed spend is ~210/mo.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~21 clients · Aug-26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Operating costs covered — start your 150 KWD/mo founder draw.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~50 clients · Sep-26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the partner's 150 KWD/mo draw.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~170 clients · May-27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Hire the developer (contractor); hand platform maintenance off you.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~217 clients · Sep-27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Hire Client Success &amp; Ops — your first dedicated support person; formalise the support process.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~245+ 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the marketing contractor, then the part-time finance/admin role.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After all hires done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 founder + partner from fixed draws to profit share: distribute ~50–60% of net profit, split 60/40, keep the 150 base as a floor. Sign the profit-share agreement 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After licensing cleared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Launch nutrition, then physio, as referral add-ons. Set their attach % in the model — per-client margin rises ~30% and every milestone above pulls forward.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Revenue scale-up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Reassess converting to a WLL — for liability protection and to give the partner real equity (triggers the conversion clause).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Re-baseline the ramp against actual waitlist conversion; review pricing vs market; watch support load (pull the Client Success hire earlier if churn/tickets climb).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Key sources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Coach commission norms (30–60%) — </w:t>
      </w:r>
      <w:hyperlink w:history="1" r:id="rId-u7-qn6duvvdigybwqo9k">
        <w:r>
          <w:rPr>
            <w:rStyle w:val="Hyperlink"/>
            <w:sz w:val="18"/>
            <w:szCs w:val="18"/>
          </w:rPr>
          <w:t xml:space="preserve">https://www.issaonline.com/blog/post/breaking-down-big-gym-pay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OPEX — % of revenue / level→price — </w:t>
      </w:r>
      <w:hyperlink w:history="1" r:id="rIdhbpr9ezqvpbj-xdrz5hxg">
        <w:r>
          <w:rPr>
            <w:rStyle w:val="Hyperlink"/>
            <w:sz w:val="18"/>
            <w:szCs w:val="18"/>
          </w:rPr>
          <w:t xml:space="preserve">https://www.opexfit.com/blog/how-much-does-a-fitness-trainer-make-per-year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Two-Brain — salary cap model — </w:t>
      </w:r>
      <w:hyperlink w:history="1" r:id="rIdxpljwx1kcvjxexpboydo8">
        <w:r>
          <w:rPr>
            <w:rStyle w:val="Hyperlink"/>
            <w:sz w:val="18"/>
            <w:szCs w:val="18"/>
          </w:rPr>
          <w:t xml:space="preserve">https://twobrainbusiness.com/the-salary-cap/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Equinox tiered trainer pricing — </w:t>
      </w:r>
      <w:hyperlink w:history="1" r:id="rIdlye30_v1txafvkdiflsws">
        <w:r>
          <w:rPr>
            <w:rStyle w:val="Hyperlink"/>
            <w:sz w:val="18"/>
            <w:szCs w:val="18"/>
          </w:rPr>
          <w:t xml:space="preserve">https://independenttrainingspot.com/how-much-do-personal-trainers-at-equinox-make/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When bonuses backfire (HBR) — </w:t>
      </w:r>
      <w:hyperlink w:history="1" r:id="rIdu0lggolel6lbs4fnt9xvl">
        <w:r>
          <w:rPr>
            <w:rStyle w:val="Hyperlink"/>
            <w:sz w:val="18"/>
            <w:szCs w:val="18"/>
          </w:rPr>
          <w:t xml:space="preserve">https://hbr.org/2024/09/research-when-bonuses-backfire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GCC PT / coaching prices — </w:t>
      </w:r>
      <w:hyperlink w:history="1" r:id="rIdwk7ux3vavgffl1r1iguyb">
        <w:r>
          <w:rPr>
            <w:rStyle w:val="Hyperlink"/>
            <w:sz w:val="18"/>
            <w:szCs w:val="18"/>
          </w:rPr>
          <w:t xml:space="preserve">https://369mmafit.com/en/blog/online-personal-trainer-dubai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nutrition pricing (Nutrilab) — </w:t>
      </w:r>
      <w:hyperlink w:history="1" r:id="rIdrrkhkxypp5vnugv9uuisj">
        <w:r>
          <w:rPr>
            <w:rStyle w:val="Hyperlink"/>
            <w:sz w:val="18"/>
            <w:szCs w:val="18"/>
          </w:rPr>
          <w:t xml:space="preserve">https://nutrilabkw.com/consultation/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physiotherapy pricing — </w:t>
      </w:r>
      <w:hyperlink w:history="1" r:id="rIdggdtmkbvhzlxh6to23liv">
        <w:r>
          <w:rPr>
            <w:rStyle w:val="Hyperlink"/>
            <w:sz w:val="18"/>
            <w:szCs w:val="18"/>
          </w:rPr>
          <w:t xml:space="preserve">https://revive.com.kw/blog/how-much-does-physiotherapy-cost-in-kuwait-your-guide-to-prices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MOH allied-health licensing — </w:t>
      </w:r>
      <w:hyperlink w:history="1" r:id="rIdasaihtaeet5b-pculkszw">
        <w:r>
          <w:rPr>
            <w:rStyle w:val="Hyperlink"/>
            <w:sz w:val="18"/>
            <w:szCs w:val="18"/>
          </w:rPr>
          <w:t xml:space="preserve">https://e.gov.kw/sites/kgoenglish/Pages/Services/MOH/LicensingProfessionHelpMedicine.aspx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private-clinic licensing — </w:t>
      </w:r>
      <w:hyperlink w:history="1" r:id="rId28kbikod-8dqo8j9v04qi">
        <w:r>
          <w:rPr>
            <w:rStyle w:val="Hyperlink"/>
            <w:sz w:val="18"/>
            <w:szCs w:val="18"/>
          </w:rPr>
          <w:t xml:space="preserve">https://e.gov.kw/sites/kgoenglish/Pages/Services/MOH/PermitPrivateClinic.aspx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coach salary data — </w:t>
      </w:r>
      <w:hyperlink w:history="1" r:id="rIdoprqhezvyle-tlc57ecor">
        <w:r>
          <w:rPr>
            <w:rStyle w:val="Hyperlink"/>
            <w:sz w:val="18"/>
            <w:szCs w:val="18"/>
          </w:rPr>
          <w:t xml:space="preserve">https://www.naukrigulf.com/salaries/personal-trainer-salary-in-kuwait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IGU — Business Build &amp; Growth Plan   |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50" w:before="24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u7-qn6duvvdigybwqo9k" Type="http://schemas.openxmlformats.org/officeDocument/2006/relationships/hyperlink" Target="https://www.issaonline.com/blog/post/breaking-down-big-gym-pay" TargetMode="External"/><Relationship Id="rIdhbpr9ezqvpbj-xdrz5hxg" Type="http://schemas.openxmlformats.org/officeDocument/2006/relationships/hyperlink" Target="https://www.opexfit.com/blog/how-much-does-a-fitness-trainer-make-per-year" TargetMode="External"/><Relationship Id="rIdxpljwx1kcvjxexpboydo8" Type="http://schemas.openxmlformats.org/officeDocument/2006/relationships/hyperlink" Target="https://twobrainbusiness.com/the-salary-cap/" TargetMode="External"/><Relationship Id="rIdlye30_v1txafvkdiflsws" Type="http://schemas.openxmlformats.org/officeDocument/2006/relationships/hyperlink" Target="https://independenttrainingspot.com/how-much-do-personal-trainers-at-equinox-make/" TargetMode="External"/><Relationship Id="rIdu0lggolel6lbs4fnt9xvl" Type="http://schemas.openxmlformats.org/officeDocument/2006/relationships/hyperlink" Target="https://hbr.org/2024/09/research-when-bonuses-backfire" TargetMode="External"/><Relationship Id="rIdwk7ux3vavgffl1r1iguyb" Type="http://schemas.openxmlformats.org/officeDocument/2006/relationships/hyperlink" Target="https://369mmafit.com/en/blog/online-personal-trainer-dubai" TargetMode="External"/><Relationship Id="rIdrrkhkxypp5vnugv9uuisj" Type="http://schemas.openxmlformats.org/officeDocument/2006/relationships/hyperlink" Target="https://nutrilabkw.com/consultation/" TargetMode="External"/><Relationship Id="rIdggdtmkbvhzlxh6to23liv" Type="http://schemas.openxmlformats.org/officeDocument/2006/relationships/hyperlink" Target="https://revive.com.kw/blog/how-much-does-physiotherapy-cost-in-kuwait-your-guide-to-prices" TargetMode="External"/><Relationship Id="rIdasaihtaeet5b-pculkszw" Type="http://schemas.openxmlformats.org/officeDocument/2006/relationships/hyperlink" Target="https://e.gov.kw/sites/kgoenglish/Pages/Services/MOH/LicensingProfessionHelpMedicine.aspx" TargetMode="External"/><Relationship Id="rId28kbikod-8dqo8j9v04qi" Type="http://schemas.openxmlformats.org/officeDocument/2006/relationships/hyperlink" Target="https://e.gov.kw/sites/kgoenglish/Pages/Services/MOH/PermitPrivateClinic.aspx" TargetMode="External"/><Relationship Id="rIdoprqhezvyle-tlc57ecor" Type="http://schemas.openxmlformats.org/officeDocument/2006/relationships/hyperlink" Target="https://www.naukrigulf.com/salaries/personal-trainer-salary-in-kuwait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2026-06-11T16:59:42.018Z</dcterms:created>
  <dcterms:modified xsi:type="dcterms:W3CDTF">2026-06-11T16:59:42.018Z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