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8" w:name="Xd0810d9af1e204b7f781296aa4d27e1e3b89d68"/>
    <w:p>
      <w:pPr>
        <w:pStyle w:val="Heading1"/>
      </w:pPr>
      <w:r>
        <w:t xml:space="preserve">Letter to Taiwan in 2036: Why I Designed the Virtual Asset Services Act This Way</w:t>
      </w:r>
    </w:p>
    <w:p>
      <w:pPr>
        <w:pStyle w:val="FirstParagraph"/>
      </w:pPr>
      <w:r>
        <w:rPr>
          <w:i/>
          <w:iCs/>
        </w:rPr>
        <w:t xml:space="preserve">22 Convictions, 6 Battles, and a Legislator's Notebook for Posterity</w:t>
      </w:r>
    </w:p>
    <w:p>
      <w:pPr>
        <w:pStyle w:val="BodyText"/>
      </w:pPr>
      <w:r>
        <w:rPr>
          <w:i/>
          <w:iCs/>
        </w:rPr>
        <w:t xml:space="preserve">From the bill I introduced on March 20, 2026, to the day the Finance Committee of the Legislative Yuan passed its review on June 3, I was personally involved in every critical moment of Taiwan's first Virtual Asset Services Act. This is the first-hand account I am leaving for the Taiwan of the next decade.</w:t>
      </w:r>
    </w:p>
    <w:p>
      <w:r>
        <w:pict>
          <v:rect style="width:0;height:1.5pt" o:hralign="center" o:hrstd="t" o:hr="t"/>
        </w:pict>
      </w:r>
    </w:p>
    <w:bookmarkStart w:id="11" w:name="good-news-and-a-few-thank-yous"/>
    <w:p>
      <w:pPr>
        <w:pStyle w:val="Heading2"/>
      </w:pPr>
      <w:r>
        <w:t xml:space="preserve">Good News, and a Few Thank-Yous</w:t>
      </w:r>
    </w:p>
    <w:p>
      <w:pPr>
        <w:pStyle w:val="FirstParagraph"/>
      </w:pPr>
      <w:r>
        <w:rPr>
          <w:b/>
          <w:bCs/>
        </w:rPr>
        <w:t xml:space="preserve">The Virtual Asset Services Act has cleared the committee — no inter-party negotiation needed; a third reading within this legislative session is now in sight ✅</w:t>
      </w:r>
    </w:p>
    <w:p>
      <w:pPr>
        <w:pStyle w:val="BodyText"/>
      </w:pPr>
      <w:r>
        <w:t xml:space="preserve">Before I begin this notebook, allow me to thank a few people. The fact that this law made it out of committee on</w:t>
      </w:r>
      <w:r>
        <w:t xml:space="preserve"> </w:t>
      </w:r>
      <w:hyperlink r:id="rId9">
        <w:r>
          <w:rPr>
            <w:rStyle w:val="Hyperlink"/>
          </w:rPr>
          <w:t xml:space="preserve">June 3, 2026</w:t>
        </w:r>
      </w:hyperlink>
      <w:r>
        <w:t xml:space="preserve"> </w:t>
      </w:r>
      <w:r>
        <w:t xml:space="preserve">with consensus on every single clause — and with a joint resolution that</w:t>
      </w:r>
      <w:r>
        <w:t xml:space="preserve"> </w:t>
      </w:r>
      <w:r>
        <w:rPr>
          <w:b/>
          <w:bCs/>
        </w:rPr>
        <w:t xml:space="preserve">no further inter-party negotiation is required</w:t>
      </w:r>
      <w:r>
        <w:t xml:space="preserve"> </w:t>
      </w:r>
      <w:r>
        <w:t xml:space="preserve">— is the result of years of work by many people:</w:t>
      </w:r>
    </w:p>
    <w:p>
      <w:pPr>
        <w:pStyle w:val="BodyText"/>
      </w:pPr>
      <w:r>
        <w:t xml:space="preserve">I am grateful to the Legislative Yuan, to Finance Committee Convener</w:t>
      </w:r>
      <w:r>
        <w:t xml:space="preserve"> </w:t>
      </w:r>
      <w:hyperlink r:id="rId10">
        <w:r>
          <w:rPr>
            <w:rStyle w:val="Hyperlink"/>
          </w:rPr>
          <w:t xml:space="preserve">Legislator Lee Yen-Hsiu</w:t>
        </w:r>
      </w:hyperlink>
      <w:r>
        <w:t xml:space="preserve">, to the Executive Yuan, to the Financial Supervisory Commission, to FSC Chairperson Peng Chin-Lung, to the Central Bank, and to all my colleagues across party lines on the Finance Committee — in particular the senior and powerful</w:t>
      </w:r>
      <w:r>
        <w:t xml:space="preserve"> </w:t>
      </w:r>
      <w:hyperlink r:id="rId10">
        <w:r>
          <w:rPr>
            <w:rStyle w:val="Hyperlink"/>
          </w:rPr>
          <w:t xml:space="preserve">Legislator Lai Shyh-Bao</w:t>
        </w:r>
      </w:hyperlink>
      <w:r>
        <w:t xml:space="preserve"> </w:t>
      </w:r>
      <w:r>
        <w:t xml:space="preserve">for his unwavering support ⬆️</w:t>
      </w:r>
    </w:p>
    <w:p>
      <w:pPr>
        <w:pStyle w:val="BodyText"/>
      </w:pPr>
      <w:r>
        <w:rPr>
          <w:b/>
          <w:bCs/>
        </w:rPr>
        <w:t xml:space="preserve">This is the Republic of China's first Virtual Asset Services Act, passed through committee without need for negotiation, with every clause agreed by consensus.</w:t>
      </w:r>
      <w:r>
        <w:t xml:space="preserve"> </w:t>
      </w:r>
      <w:r>
        <w:t xml:space="preserve">This means the bill will be</w:t>
      </w:r>
      <w:r>
        <w:t xml:space="preserve"> </w:t>
      </w:r>
      <w:r>
        <w:rPr>
          <w:b/>
          <w:bCs/>
        </w:rPr>
        <w:t xml:space="preserve">transmitted directly to the second reading</w:t>
      </w:r>
      <w:r>
        <w:t xml:space="preserve">. Compared to the usual path (a minimum one-month wait for negotiation, plus another month if negotiation breaks down before a floor vote), the third-reading timeline has been advanced by roughly one to two months — a concrete result of extensive prior coordination among the convener, the committee members, the Executive Yuan, and the FSC.</w:t>
      </w:r>
    </w:p>
    <w:p>
      <w:pPr>
        <w:pStyle w:val="BodyText"/>
      </w:pPr>
      <w:r>
        <w:t xml:space="preserve">I look forward to Taiwan, late to the game but ahead in execution, becoming not only an Asia-Pacific financial hub but a global digital finance hub.</w:t>
      </w:r>
    </w:p>
    <w:p>
      <w:pPr>
        <w:pStyle w:val="BodyText"/>
      </w:pPr>
      <w:r>
        <w:t xml:space="preserve">What follows is my own thinking, convictions, compromises, and reflections along the way.</w:t>
      </w:r>
    </w:p>
    <w:p>
      <w:pPr>
        <w:pStyle w:val="BlockText"/>
      </w:pPr>
      <w:r>
        <w:t xml:space="preserve">"Parliament needs to be ahead of the curve, and AI needs to actually ship. We need a more advanced way of thinking about regulation — to embrace virtual technology, to live within virtual worlds, to harness virtual intelligence, to fight virtual crime, to help Taiwan, to connect with the world."</w:t>
      </w:r>
      <w:r>
        <w:t xml:space="preserve"> </w:t>
      </w:r>
      <w:r>
        <w:t xml:space="preserve">— That was the political promise I made when I took office in 2024. I hope this Virtual Asset Services Act counts as partially fulfilling it.</w:t>
      </w:r>
    </w:p>
    <w:p>
      <w:r>
        <w:pict>
          <v:rect style="width:0;height:1.5pt" o:hralign="center" o:hrstd="t" o:hr="t"/>
        </w:pict>
      </w:r>
    </w:p>
    <w:bookmarkEnd w:id="11"/>
    <w:bookmarkStart w:id="12" w:name="preface-june-3rd"/>
    <w:p>
      <w:pPr>
        <w:pStyle w:val="Heading2"/>
      </w:pPr>
      <w:r>
        <w:t xml:space="preserve">Preface: June 3rd</w:t>
      </w:r>
    </w:p>
    <w:p>
      <w:pPr>
        <w:pStyle w:val="FirstParagraph"/>
      </w:pPr>
      <w:r>
        <w:t xml:space="preserve">A little past ten in the morning, in the Finance Committee meeting room of the Legislative Yuan, I watched the staff read the thick draft clauses one by one, and I watched the chair bring down the gavel on the review's passage. My feelings were complicated.</w:t>
      </w:r>
    </w:p>
    <w:p>
      <w:pPr>
        <w:pStyle w:val="BodyText"/>
      </w:pPr>
      <w:r>
        <w:t xml:space="preserve">It wasn't the joy of "winning a war." It felt more like finally crossing a relay point in a long-distance run — you know there is still the second reading, the third reading, the secondary legislation, the first VASP license, the first enforcement action, the first victim's restitution case, and each of those will be another challenge. But you also know that this relay point cannot be retreated from.</w:t>
      </w:r>
    </w:p>
    <w:p>
      <w:pPr>
        <w:pStyle w:val="BodyText"/>
      </w:pPr>
      <w:r>
        <w:t xml:space="preserve">Over the past eight years, I went from academia to Dentsu, from Dentsu to parliament, from a person who wrote code to a person who wrote bills. I watched Taiwan's virtual asset industry grow from a grassroots era, through the AML registration era, into today — an era where it finally has its own dedicated statute. The 56 clauses that passed review today will determine how many service providers can survive on this island, how many investors will be able to recover what they really lost after being defrauded, how many stablecoins will be allowed to circulate legally in Taiwan, and how many new technologies will</w:t>
      </w:r>
      <w:r>
        <w:t xml:space="preserve"> </w:t>
      </w:r>
      <w:r>
        <w:rPr>
          <w:i/>
          <w:iCs/>
        </w:rPr>
        <w:t xml:space="preserve">not</w:t>
      </w:r>
      <w:r>
        <w:t xml:space="preserve"> </w:t>
      </w:r>
      <w:r>
        <w:t xml:space="preserve">be killed accidentally by the law.</w:t>
      </w:r>
    </w:p>
    <w:p>
      <w:pPr>
        <w:pStyle w:val="BodyText"/>
      </w:pPr>
      <w:r>
        <w:t xml:space="preserve">There is one thing I am certain of:</w:t>
      </w:r>
      <w:r>
        <w:t xml:space="preserve"> </w:t>
      </w:r>
      <w:r>
        <w:rPr>
          <w:b/>
          <w:bCs/>
        </w:rPr>
        <w:t xml:space="preserve">every word of this law eventually lands on people — users, operators, victims, future founders. The clauses themselves are not the point; the people are</w:t>
      </w:r>
      <w:r>
        <w:t xml:space="preserve">.</w:t>
      </w:r>
    </w:p>
    <w:p>
      <w:pPr>
        <w:pStyle w:val="BodyText"/>
      </w:pPr>
      <w:r>
        <w:t xml:space="preserve">So in this notebook, I want to honestly write down my "thinking" and my "substantive contributions" on this law. Which fights I held the line on and where the text actually changed; which fights I retreated on but managed to preserve in spirit through supplementary resolutions or legislative explanations; which fights I lost and now have to put on the to-do list for later.</w:t>
      </w:r>
    </w:p>
    <w:p>
      <w:pPr>
        <w:pStyle w:val="BodyText"/>
      </w:pPr>
      <w:r>
        <w:t xml:space="preserve">I do not want to write this in the tone of a political press release. This law is too important to be wrapped in empty words.</w:t>
      </w:r>
    </w:p>
    <w:p>
      <w:pPr>
        <w:pStyle w:val="BodyText"/>
      </w:pPr>
      <w:r>
        <w:t xml:space="preserve">This piece is long, because every clause in this law deserves a serious accounting. If you only want the conclusion, jump to the influence-rating table at the end. If you are willing to walk the journey with me, start from Chapter One.</w:t>
      </w:r>
    </w:p>
    <w:p>
      <w:r>
        <w:pict>
          <v:rect style="width:0;height:1.5pt" o:hralign="center" o:hrstd="t" o:hr="t"/>
        </w:pict>
      </w:r>
    </w:p>
    <w:bookmarkEnd w:id="12"/>
    <w:bookmarkStart w:id="18" w:name="chapter-one-why-taiwan-needs-this-act"/>
    <w:p>
      <w:pPr>
        <w:pStyle w:val="Heading2"/>
      </w:pPr>
      <w:r>
        <w:t xml:space="preserve">Chapter One: Why Taiwan Needs This Act</w:t>
      </w:r>
    </w:p>
    <w:bookmarkStart w:id="16" w:name="X30781f472bc04bd328b7135d32e154280309d31"/>
    <w:p>
      <w:pPr>
        <w:pStyle w:val="Heading3"/>
      </w:pPr>
      <w:r>
        <w:t xml:space="preserve">The international tide is already at our feet</w:t>
      </w:r>
    </w:p>
    <w:p>
      <w:pPr>
        <w:pStyle w:val="FirstParagraph"/>
      </w:pPr>
      <w:r>
        <w:t xml:space="preserve">If you only started tracking virtual asset regulation in 2026, you will notice one thing:</w:t>
      </w:r>
      <w:r>
        <w:t xml:space="preserve"> </w:t>
      </w:r>
      <w:r>
        <w:rPr>
          <w:b/>
          <w:bCs/>
        </w:rPr>
        <w:t xml:space="preserve">all the major economies have already written their laws.</w:t>
      </w:r>
    </w:p>
    <w:p>
      <w:pPr>
        <w:pStyle w:val="BodyText"/>
      </w:pPr>
      <w:r>
        <w:t xml:space="preserve">The European Union's Markets in Crypto-Assets Regulation (</w:t>
      </w:r>
      <w:r>
        <w:rPr>
          <w:b/>
          <w:bCs/>
        </w:rPr>
        <w:t xml:space="preserve">MiCA Regulation</w:t>
      </w:r>
      <w:r>
        <w:t xml:space="preserve">), passed in 2023 and fully effective at the end of 2024, is currently the most comprehensive virtual asset framework in the world. MiCA divides virtual assets into three categories — asset-referenced tokens (ART), e-money tokens (EMT), and other crypto-assets — and establishes complete rules for issuance, trading, custody, and market abuse for each.</w:t>
      </w:r>
    </w:p>
    <w:p>
      <w:pPr>
        <w:pStyle w:val="BodyText"/>
      </w:pPr>
      <w:r>
        <w:t xml:space="preserve">The United States passed the Guiding and Establishing National Innovation for U.S. Stablecoins Act (</w:t>
      </w:r>
      <w:hyperlink r:id="rId13">
        <w:r>
          <w:rPr>
            <w:rStyle w:val="Hyperlink"/>
            <w:b/>
            <w:bCs/>
          </w:rPr>
          <w:t xml:space="preserve">GENIUS Act</w:t>
        </w:r>
      </w:hyperlink>
      <w:r>
        <w:t xml:space="preserve">) in July 2025, bringing U.S. dollar stablecoins under federal supervision. It requires 1:1 full reserves, monthly public disclosure, and pure payment-only purposes. This is the first formal piece of the U.S. stablecoin regulatory puzzle.</w:t>
      </w:r>
    </w:p>
    <w:p>
      <w:pPr>
        <w:pStyle w:val="BodyText"/>
      </w:pPr>
      <w:r>
        <w:t xml:space="preserve">Japan moved earlier still. In 2017 it amended the Payment Services Act (</w:t>
      </w:r>
      <w:r>
        <w:rPr>
          <w:b/>
          <w:bCs/>
        </w:rPr>
        <w:t xml:space="preserve">PSA</w:t>
      </w:r>
      <w:r>
        <w:t xml:space="preserve">) to bring crypto-asset exchange businesses under regulation. In 2019 it amended the law again to introduce a wallet custody business and leverage rules. In 2023 stablecoins were brought into the e-payment instrument scope. In 2024 it went further by permitting specified VASPs to hold customer crypto-assets directly as trust property.</w:t>
      </w:r>
    </w:p>
    <w:p>
      <w:pPr>
        <w:pStyle w:val="BodyText"/>
      </w:pPr>
      <w:r>
        <w:t xml:space="preserve">South Korea's Virtual Asset Users Protection Act (</w:t>
      </w:r>
      <w:r>
        <w:rPr>
          <w:b/>
          <w:bCs/>
        </w:rPr>
        <w:t xml:space="preserve">VAUPA</w:t>
      </w:r>
      <w:r>
        <w:t xml:space="preserve">) came into force in July 2024, focusing on investor protection: segregation of customer assets, criminalization of market manipulation, and remedies for unannounced suspension of trading.</w:t>
      </w:r>
    </w:p>
    <w:p>
      <w:pPr>
        <w:pStyle w:val="BodyText"/>
      </w:pPr>
      <w:r>
        <w:t xml:space="preserve">Hong Kong established its VASP licensing regime in 2023, added the</w:t>
      </w:r>
      <w:r>
        <w:t xml:space="preserve"> </w:t>
      </w:r>
      <w:r>
        <w:rPr>
          <w:b/>
          <w:bCs/>
        </w:rPr>
        <w:t xml:space="preserve">Stablecoins Ordinance</w:t>
      </w:r>
      <w:r>
        <w:t xml:space="preserve"> </w:t>
      </w:r>
      <w:r>
        <w:t xml:space="preserve">in 2024, and extended coverage to OTC and custodians in 2025. Singapore's</w:t>
      </w:r>
      <w:r>
        <w:t xml:space="preserve"> </w:t>
      </w:r>
      <w:r>
        <w:rPr>
          <w:i/>
          <w:iCs/>
        </w:rPr>
        <w:t xml:space="preserve">Payment Services Act</w:t>
      </w:r>
      <w:r>
        <w:t xml:space="preserve"> </w:t>
      </w:r>
      <w:r>
        <w:t xml:space="preserve">plus its</w:t>
      </w:r>
      <w:r>
        <w:t xml:space="preserve"> </w:t>
      </w:r>
      <w:r>
        <w:rPr>
          <w:i/>
          <w:iCs/>
        </w:rPr>
        <w:t xml:space="preserve">Digital Token Service Provider</w:t>
      </w:r>
      <w:r>
        <w:t xml:space="preserve"> </w:t>
      </w:r>
      <w:r>
        <w:t xml:space="preserve">rules have long been in force.</w:t>
      </w:r>
    </w:p>
    <w:p>
      <w:pPr>
        <w:pStyle w:val="BodyText"/>
      </w:pPr>
      <w:r>
        <w:t xml:space="preserve">Even</w:t>
      </w:r>
      <w:r>
        <w:t xml:space="preserve"> </w:t>
      </w:r>
      <w:hyperlink r:id="rId14">
        <w:r>
          <w:rPr>
            <w:rStyle w:val="Hyperlink"/>
          </w:rPr>
          <w:t xml:space="preserve">FATF Recommendation 15</w:t>
        </w:r>
      </w:hyperlink>
      <w:r>
        <w:t xml:space="preserve"> </w:t>
      </w:r>
      <w:r>
        <w:t xml:space="preserve">and</w:t>
      </w:r>
      <w:r>
        <w:t xml:space="preserve"> </w:t>
      </w:r>
      <w:hyperlink r:id="rId15">
        <w:r>
          <w:rPr>
            <w:rStyle w:val="Hyperlink"/>
          </w:rPr>
          <w:t xml:space="preserve">IOSCO's 2023</w:t>
        </w:r>
        <w:r>
          <w:rPr>
            <w:rStyle w:val="Hyperlink"/>
          </w:rPr>
          <w:t xml:space="preserve"> </w:t>
        </w:r>
        <w:r>
          <w:rPr>
            <w:rStyle w:val="Hyperlink"/>
            <w:i/>
            <w:iCs/>
          </w:rPr>
          <w:t xml:space="preserve">Policy Recommendations for Crypto and Digital Asset Markets</w:t>
        </w:r>
      </w:hyperlink>
      <w:r>
        <w:t xml:space="preserve"> </w:t>
      </w:r>
      <w:r>
        <w:t xml:space="preserve">are already templates from which countries are copying answers.</w:t>
      </w:r>
    </w:p>
    <w:p>
      <w:pPr>
        <w:pStyle w:val="BodyText"/>
      </w:pPr>
      <w:r>
        <w:rPr>
          <w:b/>
          <w:bCs/>
        </w:rPr>
        <w:t xml:space="preserve">And Taiwan?</w:t>
      </w:r>
    </w:p>
    <w:p>
      <w:pPr>
        <w:pStyle w:val="BodyText"/>
      </w:pPr>
      <w:r>
        <w:t xml:space="preserve">What Taiwan had on November 30, 2024 was the Financial Supervisory Commission's amended "Regulations Governing Anti-Money Laundering and Counter-Terrorism Financing of Enterprises Handling Virtual Asset Services" — an AML-oriented "registration regime." It requires service providers to perform KYC, monitor transactions, and file suspicious transaction reports. But it</w:t>
      </w:r>
      <w:r>
        <w:t xml:space="preserve"> </w:t>
      </w:r>
      <w:r>
        <w:rPr>
          <w:b/>
          <w:bCs/>
        </w:rPr>
        <w:t xml:space="preserve">completely fails to address</w:t>
      </w:r>
      <w:r>
        <w:t xml:space="preserve">:</w:t>
      </w:r>
    </w:p>
    <w:p>
      <w:pPr>
        <w:pStyle w:val="Compact"/>
        <w:numPr>
          <w:ilvl w:val="0"/>
          <w:numId w:val="1001"/>
        </w:numPr>
      </w:pPr>
      <w:r>
        <w:t xml:space="preserve">Should service providers have a minimum capital requirement?</w:t>
      </w:r>
    </w:p>
    <w:p>
      <w:pPr>
        <w:pStyle w:val="Compact"/>
        <w:numPr>
          <w:ilvl w:val="0"/>
          <w:numId w:val="1001"/>
        </w:numPr>
      </w:pPr>
      <w:r>
        <w:t xml:space="preserve">How should customer virtual assets be segregated and custodied?</w:t>
      </w:r>
    </w:p>
    <w:p>
      <w:pPr>
        <w:pStyle w:val="Compact"/>
        <w:numPr>
          <w:ilvl w:val="0"/>
          <w:numId w:val="1001"/>
        </w:numPr>
      </w:pPr>
      <w:r>
        <w:t xml:space="preserve">Should listing and delisting of tokens on a platform be subject to review? And how strict should that review be?</w:t>
      </w:r>
    </w:p>
    <w:p>
      <w:pPr>
        <w:pStyle w:val="Compact"/>
        <w:numPr>
          <w:ilvl w:val="0"/>
          <w:numId w:val="1001"/>
        </w:numPr>
      </w:pPr>
      <w:r>
        <w:t xml:space="preserve">How are stablecoins issued, who can issue them, and how are reserve assets managed?</w:t>
      </w:r>
    </w:p>
    <w:p>
      <w:pPr>
        <w:pStyle w:val="Compact"/>
        <w:numPr>
          <w:ilvl w:val="0"/>
          <w:numId w:val="1001"/>
        </w:numPr>
      </w:pPr>
      <w:r>
        <w:t xml:space="preserve">Should market manipulation carry criminal liability?</w:t>
      </w:r>
    </w:p>
    <w:p>
      <w:pPr>
        <w:pStyle w:val="Compact"/>
        <w:numPr>
          <w:ilvl w:val="0"/>
          <w:numId w:val="1001"/>
        </w:numPr>
      </w:pPr>
      <w:r>
        <w:t xml:space="preserve">Where is the procedural justice for suspension of trading?</w:t>
      </w:r>
    </w:p>
    <w:p>
      <w:pPr>
        <w:pStyle w:val="Compact"/>
        <w:numPr>
          <w:ilvl w:val="0"/>
          <w:numId w:val="1001"/>
        </w:numPr>
      </w:pPr>
      <w:r>
        <w:t xml:space="preserve">How does a victim recover their loss?</w:t>
      </w:r>
    </w:p>
    <w:p>
      <w:pPr>
        <w:pStyle w:val="FirstParagraph"/>
      </w:pPr>
      <w:r>
        <w:t xml:space="preserve">In other words, Taiwan only had</w:t>
      </w:r>
      <w:r>
        <w:t xml:space="preserve"> </w:t>
      </w:r>
      <w:r>
        <w:rPr>
          <w:b/>
          <w:bCs/>
        </w:rPr>
        <w:t xml:space="preserve">the guard at the door</w:t>
      </w:r>
      <w:r>
        <w:t xml:space="preserve">, but no</w:t>
      </w:r>
      <w:r>
        <w:t xml:space="preserve"> </w:t>
      </w:r>
      <w:r>
        <w:rPr>
          <w:b/>
          <w:bCs/>
        </w:rPr>
        <w:t xml:space="preserve">rules inside the building</w:t>
      </w:r>
      <w:r>
        <w:t xml:space="preserve">.</w:t>
      </w:r>
    </w:p>
    <w:bookmarkEnd w:id="16"/>
    <w:bookmarkStart w:id="17" w:name="why-i-introduced-my-bill-on-march-20"/>
    <w:p>
      <w:pPr>
        <w:pStyle w:val="Heading3"/>
      </w:pPr>
      <w:r>
        <w:t xml:space="preserve">Why I introduced my bill on March 20</w:t>
      </w:r>
    </w:p>
    <w:p>
      <w:pPr>
        <w:pStyle w:val="FirstParagraph"/>
      </w:pPr>
      <w:r>
        <w:t xml:space="preserve">On March 20, 2026, I introduced a 53-clause version as the principal proposer, co-signed by twenty other legislators including Su Ching-chuan and Hsu Yu-chen.</w:t>
      </w:r>
    </w:p>
    <w:p>
      <w:pPr>
        <w:pStyle w:val="BodyText"/>
      </w:pPr>
      <w:r>
        <w:t xml:space="preserve">At that time the Executive Yuan version had not yet emerged — the cabinet version would only be approved by the Executive Yuan on April 2 and sent to the Legislative Yuan on April 15.</w:t>
      </w:r>
    </w:p>
    <w:p>
      <w:pPr>
        <w:pStyle w:val="BodyText"/>
      </w:pPr>
      <w:r>
        <w:t xml:space="preserve">Many people asked me: "The Executive Yuan is about to send its version. Why bother proposing one first?"</w:t>
      </w:r>
    </w:p>
    <w:p>
      <w:pPr>
        <w:pStyle w:val="BodyText"/>
      </w:pPr>
      <w:r>
        <w:t xml:space="preserve">I had two answers.</w:t>
      </w:r>
    </w:p>
    <w:p>
      <w:pPr>
        <w:pStyle w:val="BodyText"/>
      </w:pPr>
      <w:r>
        <w:rPr>
          <w:b/>
          <w:bCs/>
        </w:rPr>
        <w:t xml:space="preserve">First, the timing pressure of legislation.</w:t>
      </w:r>
      <w:r>
        <w:t xml:space="preserve"> </w:t>
      </w:r>
      <w:r>
        <w:t xml:space="preserve">In Taiwan's Legislative Yuan, bills are not scheduled on a first-come basis. They are scheduled based on the procedural will of the committee convener. If there is no member's version already on the review calendar, then once the Executive Yuan version arrives, it could be pushed to a much later slot — even into the following session.</w:t>
      </w:r>
      <w:r>
        <w:t xml:space="preserve"> </w:t>
      </w:r>
      <w:r>
        <w:rPr>
          <w:b/>
          <w:bCs/>
        </w:rPr>
        <w:t xml:space="preserve">Putting a version on the table first</w:t>
      </w:r>
      <w:r>
        <w:t xml:space="preserve"> </w:t>
      </w:r>
      <w:r>
        <w:t xml:space="preserve">is the way to secure priority in the legislative rhythm.</w:t>
      </w:r>
    </w:p>
    <w:p>
      <w:pPr>
        <w:pStyle w:val="BodyText"/>
      </w:pPr>
      <w:r>
        <w:rPr>
          <w:b/>
          <w:bCs/>
        </w:rPr>
        <w:t xml:space="preserve">Second, setting the policy direction.</w:t>
      </w:r>
      <w:r>
        <w:t xml:space="preserve"> </w:t>
      </w:r>
      <w:r>
        <w:t xml:space="preserve">Before the bill had even arrived, I had already, through the 2024 AML amendments, more than twenty rounds of consultation with industry, and repeated meetings with the Financial Supervisory Commission (FSC) and the Central Bank, identified</w:t>
      </w:r>
      <w:r>
        <w:t xml:space="preserve"> </w:t>
      </w:r>
      <w:r>
        <w:rPr>
          <w:b/>
          <w:bCs/>
        </w:rPr>
        <w:t xml:space="preserve">the blind spots that the cabinet version was likely to contain</w:t>
      </w:r>
      <w:r>
        <w:t xml:space="preserve">. The version I introduced was meant to ensure that the review of the cabinet's bill would happen with "an alternative on the table" — so that when the FSC faced our proposed amendments, it would feel more pressure to think things through carefully.</w:t>
      </w:r>
    </w:p>
    <w:p>
      <w:pPr>
        <w:pStyle w:val="BodyText"/>
      </w:pPr>
      <w:r>
        <w:t xml:space="preserve">My 53-clause version and the 55-clause Executive Yuan version that passed on April 2 differed clearly in at least the following places: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Issue</w:t>
            </w:r>
          </w:p>
        </w:tc>
        <w:tc>
          <w:tcPr/>
          <w:p>
            <w:pPr>
              <w:pStyle w:val="Compact"/>
            </w:pPr>
            <w:r>
              <w:t xml:space="preserve">KO version</w:t>
            </w:r>
          </w:p>
        </w:tc>
        <w:tc>
          <w:tcPr/>
          <w:p>
            <w:pPr>
              <w:pStyle w:val="Compact"/>
            </w:pPr>
            <w:r>
              <w:t xml:space="preserve">Executive Yuan version</w:t>
            </w:r>
          </w:p>
        </w:tc>
      </w:tr>
      <w:tr>
        <w:tc>
          <w:tcPr/>
          <w:p>
            <w:pPr>
              <w:pStyle w:val="Compact"/>
            </w:pPr>
            <w:r>
              <w:t xml:space="preserve">Article 2</w:t>
            </w:r>
          </w:p>
        </w:tc>
        <w:tc>
          <w:tcPr/>
          <w:p>
            <w:pPr>
              <w:pStyle w:val="Compact"/>
            </w:pPr>
            <w:r>
              <w:t xml:space="preserve">Adds Paragraph 2: Competent authority shall establish a dedicated unit and dedicated personnel</w:t>
            </w:r>
          </w:p>
        </w:tc>
        <w:tc>
          <w:tcPr/>
          <w:p>
            <w:pPr>
              <w:pStyle w:val="Compact"/>
            </w:pPr>
            <w:r>
              <w:t xml:space="preserve">Single paragraph only</w:t>
            </w:r>
          </w:p>
        </w:tc>
      </w:tr>
      <w:tr>
        <w:tc>
          <w:tcPr/>
          <w:p>
            <w:pPr>
              <w:pStyle w:val="Compact"/>
            </w:pPr>
            <w:r>
              <w:t xml:space="preserve">Article 6 (scope of business)</w:t>
            </w:r>
          </w:p>
        </w:tc>
        <w:tc>
          <w:tcPr/>
          <w:p>
            <w:pPr>
              <w:pStyle w:val="Compact"/>
            </w:pPr>
            <w:r>
              <w:rPr>
                <w:b/>
                <w:bCs/>
              </w:rPr>
              <w:t xml:space="preserve">Explicitly lists "lending service providers"</w:t>
            </w:r>
            <w:r>
              <w:t xml:space="preserve"> </w:t>
            </w:r>
            <w:r>
              <w:t xml:space="preserve">as a standalone category</w:t>
            </w:r>
          </w:p>
        </w:tc>
        <w:tc>
          <w:tcPr/>
          <w:p>
            <w:pPr>
              <w:pStyle w:val="Compact"/>
            </w:pPr>
            <w:r>
              <w:t xml:space="preserve">Initially absent; later added</w:t>
            </w:r>
          </w:p>
        </w:tc>
      </w:tr>
      <w:tr>
        <w:tc>
          <w:tcPr/>
          <w:p>
            <w:pPr>
              <w:pStyle w:val="Compact"/>
            </w:pPr>
            <w:r>
              <w:t xml:space="preserve">Articles 7, 8, 35</w:t>
            </w:r>
          </w:p>
        </w:tc>
        <w:tc>
          <w:tcPr/>
          <w:p>
            <w:pPr>
              <w:pStyle w:val="Compact"/>
            </w:pPr>
            <w:r>
              <w:t xml:space="preserve">Adds</w:t>
            </w:r>
            <w:r>
              <w:t xml:space="preserve"> </w:t>
            </w:r>
            <w:r>
              <w:rPr>
                <w:b/>
                <w:bCs/>
              </w:rPr>
              <w:t xml:space="preserve">regulatory flexibility proviso</w:t>
            </w:r>
            <w:r>
              <w:t xml:space="preserve">: "except where the competent authority deems unnecessary based on the nature of the matter"</w:t>
            </w:r>
          </w:p>
        </w:tc>
        <w:tc>
          <w:tcPr/>
          <w:p>
            <w:pPr>
              <w:pStyle w:val="Compact"/>
            </w:pPr>
            <w:r>
              <w:t xml:space="preserve">None</w:t>
            </w:r>
          </w:p>
        </w:tc>
      </w:tr>
      <w:tr>
        <w:tc>
          <w:tcPr/>
          <w:p>
            <w:pPr>
              <w:pStyle w:val="Compact"/>
            </w:pPr>
            <w:r>
              <w:t xml:space="preserve">Articles 11, 13</w:t>
            </w:r>
          </w:p>
        </w:tc>
        <w:tc>
          <w:tcPr/>
          <w:p>
            <w:pPr>
              <w:pStyle w:val="Compact"/>
            </w:pPr>
            <w:r>
              <w:t xml:space="preserve">"</w:t>
            </w:r>
            <w:r>
              <w:rPr>
                <w:b/>
                <w:bCs/>
              </w:rPr>
              <w:t xml:space="preserve">Taking into account categories and scope of business respectively</w:t>
            </w:r>
            <w:r>
              <w:t xml:space="preserve">" when setting deposits and debt ratios</w:t>
            </w:r>
          </w:p>
        </w:tc>
        <w:tc>
          <w:tcPr/>
          <w:p>
            <w:pPr>
              <w:pStyle w:val="Compact"/>
            </w:pPr>
            <w:r>
              <w:t xml:space="preserve">One standard fits all</w:t>
            </w:r>
          </w:p>
        </w:tc>
      </w:tr>
      <w:tr>
        <w:tc>
          <w:tcPr/>
          <w:p>
            <w:pPr>
              <w:pStyle w:val="Compact"/>
            </w:pPr>
            <w:r>
              <w:t xml:space="preserve">Article 12</w:t>
            </w:r>
          </w:p>
        </w:tc>
        <w:tc>
          <w:tcPr/>
          <w:p>
            <w:pPr>
              <w:pStyle w:val="Compact"/>
            </w:pPr>
            <w:r>
              <w:t xml:space="preserve">Adds Paragraph 3:</w:t>
            </w:r>
            <w:r>
              <w:t xml:space="preserve"> </w:t>
            </w:r>
            <w:r>
              <w:rPr>
                <w:b/>
                <w:bCs/>
              </w:rPr>
              <w:t xml:space="preserve">2-year transitional period for incumbent personnel</w:t>
            </w:r>
          </w:p>
        </w:tc>
        <w:tc>
          <w:tcPr/>
          <w:p>
            <w:pPr>
              <w:pStyle w:val="Compact"/>
            </w:pPr>
            <w:r>
              <w:t xml:space="preserve">None</w:t>
            </w:r>
          </w:p>
        </w:tc>
      </w:tr>
      <w:tr>
        <w:tc>
          <w:tcPr/>
          <w:p>
            <w:pPr>
              <w:pStyle w:val="Compact"/>
            </w:pPr>
            <w:r>
              <w:t xml:space="preserve">Article 20</w:t>
            </w:r>
          </w:p>
        </w:tc>
        <w:tc>
          <w:tcPr/>
          <w:p>
            <w:pPr>
              <w:pStyle w:val="Compact"/>
            </w:pPr>
            <w:r>
              <w:t xml:space="preserve">Suspension of trading</w:t>
            </w:r>
            <w:r>
              <w:t xml:space="preserve"> </w:t>
            </w:r>
            <w:r>
              <w:rPr>
                <w:b/>
                <w:bCs/>
              </w:rPr>
              <w:t xml:space="preserve">capped at 20 days</w:t>
            </w:r>
            <w:r>
              <w:t xml:space="preserve"> </w:t>
            </w:r>
            <w:r>
              <w:t xml:space="preserve">(unless extended by judicial police notice)</w:t>
            </w:r>
          </w:p>
        </w:tc>
        <w:tc>
          <w:tcPr/>
          <w:p>
            <w:pPr>
              <w:pStyle w:val="Compact"/>
            </w:pPr>
            <w:r>
              <w:t xml:space="preserve">No time limit</w:t>
            </w:r>
          </w:p>
        </w:tc>
      </w:tr>
      <w:tr>
        <w:tc>
          <w:tcPr/>
          <w:p>
            <w:pPr>
              <w:pStyle w:val="Compact"/>
            </w:pPr>
            <w:r>
              <w:t xml:space="preserve">Article 23</w:t>
            </w:r>
          </w:p>
        </w:tc>
        <w:tc>
          <w:tcPr/>
          <w:p>
            <w:pPr>
              <w:pStyle w:val="Compact"/>
            </w:pPr>
            <w:r>
              <w:t xml:space="preserve">Manner, items, and scope of record retention to be prescribed by the competent authority</w:t>
            </w:r>
          </w:p>
        </w:tc>
        <w:tc>
          <w:tcPr/>
          <w:p>
            <w:pPr>
              <w:pStyle w:val="Compact"/>
            </w:pPr>
            <w:r>
              <w:t xml:space="preserve">None</w:t>
            </w:r>
          </w:p>
        </w:tc>
      </w:tr>
      <w:tr>
        <w:tc>
          <w:tcPr/>
          <w:p>
            <w:pPr>
              <w:pStyle w:val="Compact"/>
            </w:pPr>
            <w:r>
              <w:t xml:space="preserve">Article 25</w:t>
            </w:r>
          </w:p>
        </w:tc>
        <w:tc>
          <w:tcPr/>
          <w:p>
            <w:pPr>
              <w:pStyle w:val="Compact"/>
            </w:pPr>
            <w:r>
              <w:t xml:space="preserve">Listing/delisting: from</w:t>
            </w:r>
            <w:r>
              <w:t xml:space="preserve"> </w:t>
            </w:r>
            <w:r>
              <w:rPr>
                <w:b/>
                <w:bCs/>
              </w:rPr>
              <w:t xml:space="preserve">"approval"</w:t>
            </w:r>
            <w:r>
              <w:t xml:space="preserve"> </w:t>
            </w:r>
            <w:r>
              <w:t xml:space="preserve">to</w:t>
            </w:r>
            <w:r>
              <w:t xml:space="preserve"> </w:t>
            </w:r>
            <w:r>
              <w:rPr>
                <w:b/>
                <w:bCs/>
              </w:rPr>
              <w:t xml:space="preserve">"filing for record"</w:t>
            </w:r>
          </w:p>
        </w:tc>
        <w:tc>
          <w:tcPr/>
          <w:p>
            <w:pPr>
              <w:pStyle w:val="Compact"/>
            </w:pPr>
            <w:r>
              <w:t xml:space="preserve">Approval regime</w:t>
            </w:r>
          </w:p>
        </w:tc>
      </w:tr>
      <w:tr>
        <w:tc>
          <w:tcPr/>
          <w:p>
            <w:pPr>
              <w:pStyle w:val="Compact"/>
            </w:pPr>
            <w:r>
              <w:t xml:space="preserve">Article 27</w:t>
            </w:r>
          </w:p>
        </w:tc>
        <w:tc>
          <w:tcPr/>
          <w:p>
            <w:pPr>
              <w:pStyle w:val="Compact"/>
            </w:pPr>
            <w:r>
              <w:t xml:space="preserve">Outsourced custody:</w:t>
            </w:r>
            <w:r>
              <w:t xml:space="preserve"> </w:t>
            </w:r>
            <w:r>
              <w:rPr>
                <w:b/>
                <w:bCs/>
              </w:rPr>
              <w:t xml:space="preserve">express liability for compensation</w:t>
            </w:r>
          </w:p>
        </w:tc>
        <w:tc>
          <w:tcPr/>
          <w:p>
            <w:pPr>
              <w:pStyle w:val="Compact"/>
            </w:pPr>
            <w:r>
              <w:t xml:space="preserve">Notification only</w:t>
            </w:r>
          </w:p>
        </w:tc>
      </w:tr>
      <w:tr>
        <w:tc>
          <w:tcPr/>
          <w:p>
            <w:pPr>
              <w:pStyle w:val="Compact"/>
            </w:pPr>
            <w:r>
              <w:t xml:space="preserve">Article 33</w:t>
            </w:r>
          </w:p>
        </w:tc>
        <w:tc>
          <w:tcPr/>
          <w:p>
            <w:pPr>
              <w:pStyle w:val="Compact"/>
            </w:pPr>
            <w:r>
              <w:t xml:space="preserve">Education and outreach extended to</w:t>
            </w:r>
            <w:r>
              <w:t xml:space="preserve"> </w:t>
            </w:r>
            <w:r>
              <w:rPr>
                <w:b/>
                <w:bCs/>
              </w:rPr>
              <w:t xml:space="preserve">the public</w:t>
            </w:r>
          </w:p>
        </w:tc>
        <w:tc>
          <w:tcPr/>
          <w:p>
            <w:pPr>
              <w:pStyle w:val="Compact"/>
            </w:pPr>
            <w:r>
              <w:t xml:space="preserve">Limited to transactors</w:t>
            </w:r>
          </w:p>
        </w:tc>
      </w:tr>
      <w:tr>
        <w:tc>
          <w:tcPr/>
          <w:p>
            <w:pPr>
              <w:pStyle w:val="Compact"/>
            </w:pPr>
            <w:r>
              <w:t xml:space="preserve">Article 42</w:t>
            </w:r>
          </w:p>
        </w:tc>
        <w:tc>
          <w:tcPr/>
          <w:p>
            <w:pPr>
              <w:pStyle w:val="Compact"/>
            </w:pPr>
            <w:r>
              <w:rPr>
                <w:b/>
                <w:bCs/>
              </w:rPr>
              <w:t xml:space="preserve">Exemption from market manipulation</w:t>
            </w:r>
            <w:r>
              <w:t xml:space="preserve"> </w:t>
            </w:r>
            <w:r>
              <w:t xml:space="preserve">(legitimate market-making mechanisms)</w:t>
            </w:r>
          </w:p>
        </w:tc>
        <w:tc>
          <w:tcPr/>
          <w:p>
            <w:pPr>
              <w:pStyle w:val="Compact"/>
            </w:pPr>
            <w:r>
              <w:t xml:space="preserve">None</w:t>
            </w:r>
          </w:p>
        </w:tc>
      </w:tr>
      <w:tr>
        <w:tc>
          <w:tcPr/>
          <w:p>
            <w:pPr>
              <w:pStyle w:val="Compact"/>
            </w:pPr>
            <w:r>
              <w:t xml:space="preserve">⭐ Article 43</w:t>
            </w:r>
          </w:p>
        </w:tc>
        <w:tc>
          <w:tcPr/>
          <w:p>
            <w:pPr>
              <w:pStyle w:val="Compact"/>
            </w:pPr>
            <w:r>
              <w:rPr>
                <w:b/>
                <w:bCs/>
              </w:rPr>
              <w:t xml:space="preserve">FinTech Innovation Development Fund</w:t>
            </w:r>
            <w:r>
              <w:t xml:space="preserve"> </w:t>
            </w:r>
            <w:r>
              <w:t xml:space="preserve">(KO version exclusive)</w:t>
            </w:r>
          </w:p>
        </w:tc>
        <w:tc>
          <w:tcPr/>
          <w:p>
            <w:pPr>
              <w:pStyle w:val="Compact"/>
            </w:pPr>
            <w:r>
              <w:t xml:space="preserve">None</w:t>
            </w:r>
          </w:p>
        </w:tc>
      </w:tr>
      <w:tr>
        <w:tc>
          <w:tcPr/>
          <w:p>
            <w:pPr>
              <w:pStyle w:val="Compact"/>
            </w:pPr>
            <w:r>
              <w:t xml:space="preserve">Article 47</w:t>
            </w:r>
          </w:p>
        </w:tc>
        <w:tc>
          <w:tcPr/>
          <w:p>
            <w:pPr>
              <w:pStyle w:val="Compact"/>
            </w:pPr>
            <w:r>
              <w:t xml:space="preserve">Returnable or confiscable property in virtual asset form:</w:t>
            </w:r>
            <w:r>
              <w:t xml:space="preserve"> </w:t>
            </w:r>
            <w:r>
              <w:rPr>
                <w:b/>
                <w:bCs/>
              </w:rPr>
              <w:t xml:space="preserve">paid in virtual assets</w:t>
            </w:r>
          </w:p>
        </w:tc>
        <w:tc>
          <w:tcPr/>
          <w:p>
            <w:pPr>
              <w:pStyle w:val="Compact"/>
            </w:pPr>
            <w:r>
              <w:t xml:space="preserve">Default: convert to fiat</w:t>
            </w:r>
          </w:p>
        </w:tc>
      </w:tr>
      <w:tr>
        <w:tc>
          <w:tcPr/>
          <w:p>
            <w:pPr>
              <w:pStyle w:val="Compact"/>
            </w:pPr>
            <w:r>
              <w:t xml:space="preserve">Article 55</w:t>
            </w:r>
          </w:p>
        </w:tc>
        <w:tc>
          <w:tcPr/>
          <w:p>
            <w:pPr>
              <w:pStyle w:val="Compact"/>
            </w:pPr>
            <w:r>
              <w:t xml:space="preserve">Transition period extended to</w:t>
            </w:r>
            <w:r>
              <w:t xml:space="preserve"> </w:t>
            </w:r>
            <w:r>
              <w:rPr>
                <w:b/>
                <w:bCs/>
              </w:rPr>
              <w:t xml:space="preserve">12 + 24 months</w:t>
            </w:r>
          </w:p>
        </w:tc>
        <w:tc>
          <w:tcPr/>
          <w:p>
            <w:pPr>
              <w:pStyle w:val="Compact"/>
            </w:pPr>
            <w:r>
              <w:t xml:space="preserve">9 + 18 months</w:t>
            </w:r>
          </w:p>
        </w:tc>
      </w:tr>
    </w:tbl>
    <w:p>
      <w:pPr>
        <w:pStyle w:val="BodyText"/>
      </w:pPr>
      <w:r>
        <w:t xml:space="preserve">This comparison table became my</w:t>
      </w:r>
      <w:r>
        <w:t xml:space="preserve"> </w:t>
      </w:r>
      <w:r>
        <w:rPr>
          <w:b/>
          <w:bCs/>
        </w:rPr>
        <w:t xml:space="preserve">battle map</w:t>
      </w:r>
      <w:r>
        <w:t xml:space="preserve"> </w:t>
      </w:r>
      <w:r>
        <w:t xml:space="preserve">on the Finance Committee floor on May 6, May 13, May 16, and June 3. Twenty-two amendment proposals, seventy-six pre-prepared statements and rebuttal briefs, all waiting to be argued clause by clause with the FSC, the Central Bank, and the Ministry of Justice.</w:t>
      </w:r>
    </w:p>
    <w:p>
      <w:r>
        <w:pict>
          <v:rect style="width:0;height:1.5pt" o:hralign="center" o:hrstd="t" o:hr="t"/>
        </w:pict>
      </w:r>
    </w:p>
    <w:bookmarkEnd w:id="17"/>
    <w:bookmarkEnd w:id="18"/>
    <w:bookmarkStart w:id="56" w:name="chapter-two-six-key-battles"/>
    <w:p>
      <w:pPr>
        <w:pStyle w:val="Heading2"/>
      </w:pPr>
      <w:r>
        <w:t xml:space="preserve">Chapter Two: Six Key Battles</w:t>
      </w:r>
    </w:p>
    <w:p>
      <w:pPr>
        <w:pStyle w:val="FirstParagraph"/>
      </w:pPr>
      <w:r>
        <w:t xml:space="preserve">I have picked out the six clauses from this review whose policy significance was the greatest and whose battles had the best stories. Let me show you what really happened on the floor.</w:t>
      </w:r>
    </w:p>
    <w:bookmarkStart w:id="28" w:name="X77c738badf090d463f906d5be99f25d8961a073"/>
    <w:p>
      <w:pPr>
        <w:pStyle w:val="Heading3"/>
      </w:pPr>
      <w:r>
        <w:t xml:space="preserve">Battle One: Article 25 — From "Approval Regime" to "Filing for Record"</w:t>
      </w:r>
    </w:p>
    <w:p>
      <w:pPr>
        <w:pStyle w:val="FirstParagraph"/>
      </w:pPr>
      <w:r>
        <w:t xml:space="preserve">If I could only single out one clause that I cared about most, it would be Article 25.</w:t>
      </w:r>
    </w:p>
    <w:bookmarkStart w:id="19" w:name="what-the-executive-yuan-version-said"/>
    <w:p>
      <w:pPr>
        <w:pStyle w:val="Heading4"/>
      </w:pPr>
      <w:r>
        <w:t xml:space="preserve">What the Executive Yuan version said</w:t>
      </w:r>
    </w:p>
    <w:p>
      <w:pPr>
        <w:pStyle w:val="FirstParagraph"/>
      </w:pPr>
      <w:r>
        <w:t xml:space="preserve">Executive Yuan version, Article 25, Paragraph 2:</w:t>
      </w:r>
    </w:p>
    <w:p>
      <w:pPr>
        <w:pStyle w:val="BlockText"/>
      </w:pPr>
      <w:r>
        <w:t xml:space="preserve">"A virtual asset trading platform shall</w:t>
      </w:r>
      <w:r>
        <w:t xml:space="preserve"> </w:t>
      </w:r>
      <w:r>
        <w:rPr>
          <w:b/>
          <w:bCs/>
        </w:rPr>
        <w:t xml:space="preserve">ensure that any virtual asset for which it provides centralized market services has been approved by the competent authority</w:t>
      </w:r>
      <w:r>
        <w:t xml:space="preserve"> </w:t>
      </w:r>
      <w:r>
        <w:t xml:space="preserve">before it may provide such services."</w:t>
      </w:r>
    </w:p>
    <w:p>
      <w:pPr>
        <w:pStyle w:val="FirstParagraph"/>
      </w:pPr>
      <w:r>
        <w:t xml:space="preserve">In plain language:</w:t>
      </w:r>
      <w:r>
        <w:t xml:space="preserve"> </w:t>
      </w:r>
      <w:r>
        <w:rPr>
          <w:b/>
          <w:bCs/>
        </w:rPr>
        <w:t xml:space="preserve">every single token, before a platform can list it, must first be greenlit by the FSC.</w:t>
      </w:r>
    </w:p>
    <w:bookmarkEnd w:id="19"/>
    <w:bookmarkStart w:id="24" w:name="why-i-fought-this-one"/>
    <w:p>
      <w:pPr>
        <w:pStyle w:val="Heading4"/>
      </w:pPr>
      <w:r>
        <w:t xml:space="preserve">Why I fought this one</w:t>
      </w:r>
    </w:p>
    <w:p>
      <w:pPr>
        <w:pStyle w:val="FirstParagraph"/>
      </w:pPr>
      <w:r>
        <w:t xml:space="preserve">If you have ever built a product, written code, or operated any real-time system, you can immediately see the problem with this design:</w:t>
      </w:r>
      <w:r>
        <w:t xml:space="preserve"> </w:t>
      </w:r>
      <w:r>
        <w:rPr>
          <w:b/>
          <w:bCs/>
        </w:rPr>
        <w:t xml:space="preserve">this is a textbook single point of failure (SPoF)</w:t>
      </w:r>
      <w:r>
        <w:t xml:space="preserve">.</w:t>
      </w:r>
    </w:p>
    <w:p>
      <w:pPr>
        <w:pStyle w:val="BodyText"/>
      </w:pPr>
      <w:r>
        <w:t xml:space="preserve">The virtual asset market spawns thousands of new tokens every year (a conservative estimate). Even if only 1 percent of them are worth considering for listing on a regulated platform, that is more than ten cases per day arriving for review every single year. Where is the FSC going to find the staff for this? The secondary legislation has not been drafted, the standards have not been established, and</w:t>
      </w:r>
      <w:r>
        <w:t xml:space="preserve"> </w:t>
      </w:r>
      <w:r>
        <w:rPr>
          <w:b/>
          <w:bCs/>
        </w:rPr>
        <w:t xml:space="preserve">the review capacity is simply not ready</w:t>
      </w:r>
      <w:r>
        <w:t xml:space="preserve">.</w:t>
      </w:r>
    </w:p>
    <w:p>
      <w:pPr>
        <w:pStyle w:val="BodyText"/>
      </w:pPr>
      <w:r>
        <w:t xml:space="preserve">More importantly: once one node cannot complete review, everything downstream gets stuck.</w:t>
      </w:r>
      <w:r>
        <w:t xml:space="preserve"> </w:t>
      </w:r>
      <w:r>
        <w:rPr>
          <w:b/>
          <w:bCs/>
        </w:rPr>
        <w:t xml:space="preserve">This is exactly the script of the 2025 "nurse-to-bed ratio for three shifts" legislation</w:t>
      </w:r>
      <w:r>
        <w:t xml:space="preserve"> </w:t>
      </w:r>
      <w:r>
        <w:t xml:space="preserve">— the law had already passed its third reading, but for various reasons the implementation date was pushed back, and it never properly went live. If we let the VASP Act re-enact that script, then this law would be a case of "</w:t>
      </w:r>
      <w:r>
        <w:rPr>
          <w:b/>
          <w:bCs/>
        </w:rPr>
        <w:t xml:space="preserve">the law exists, but the market does not</w:t>
      </w:r>
      <w:r>
        <w:t xml:space="preserve">."</w:t>
      </w:r>
    </w:p>
    <w:p>
      <w:pPr>
        <w:pStyle w:val="BodyText"/>
      </w:pPr>
      <w:r>
        <w:t xml:space="preserve">I cited a long list of comparative law:</w:t>
      </w:r>
    </w:p>
    <w:p>
      <w:pPr>
        <w:pStyle w:val="Compact"/>
        <w:numPr>
          <w:ilvl w:val="0"/>
          <w:numId w:val="1002"/>
        </w:numPr>
      </w:pPr>
      <w:hyperlink r:id="rId20">
        <w:r>
          <w:rPr>
            <w:rStyle w:val="Hyperlink"/>
            <w:b/>
            <w:bCs/>
          </w:rPr>
          <w:t xml:space="preserve">EU MiCA</w:t>
        </w:r>
      </w:hyperlink>
      <w:r>
        <w:t xml:space="preserve">: issuers only need to</w:t>
      </w:r>
      <w:r>
        <w:t xml:space="preserve"> </w:t>
      </w:r>
      <w:r>
        <w:rPr>
          <w:b/>
          <w:bCs/>
        </w:rPr>
        <w:t xml:space="preserve">file a white paper</w:t>
      </w:r>
      <w:r>
        <w:t xml:space="preserve"> </w:t>
      </w:r>
      <w:r>
        <w:t xml:space="preserve">with the competent authority twenty working days before listing; no approval is required (MiCA Article 8);</w:t>
      </w:r>
    </w:p>
    <w:p>
      <w:pPr>
        <w:pStyle w:val="Compact"/>
        <w:numPr>
          <w:ilvl w:val="0"/>
          <w:numId w:val="1002"/>
        </w:numPr>
      </w:pPr>
      <w:r>
        <w:rPr>
          <w:b/>
          <w:bCs/>
        </w:rPr>
        <w:t xml:space="preserve">South Korean</w:t>
      </w:r>
      <w:r>
        <w:rPr>
          <w:b/>
          <w:bCs/>
        </w:rPr>
        <w:t xml:space="preserve"> </w:t>
      </w:r>
      <w:hyperlink r:id="rId21">
        <w:r>
          <w:rPr>
            <w:rStyle w:val="Hyperlink"/>
            <w:b/>
            <w:bCs/>
          </w:rPr>
          <w:t xml:space="preserve">VAUPA</w:t>
        </w:r>
      </w:hyperlink>
      <w:r>
        <w:t xml:space="preserve">: service providers</w:t>
      </w:r>
      <w:r>
        <w:t xml:space="preserve"> </w:t>
      </w:r>
      <w:r>
        <w:rPr>
          <w:b/>
          <w:bCs/>
        </w:rPr>
        <w:t xml:space="preserve">self-review</w:t>
      </w:r>
      <w:r>
        <w:t xml:space="preserve"> </w:t>
      </w:r>
      <w:r>
        <w:t xml:space="preserve">listed tokens;</w:t>
      </w:r>
    </w:p>
    <w:p>
      <w:pPr>
        <w:pStyle w:val="Compact"/>
        <w:numPr>
          <w:ilvl w:val="0"/>
          <w:numId w:val="1002"/>
        </w:numPr>
      </w:pPr>
      <w:hyperlink r:id="rId22">
        <w:r>
          <w:rPr>
            <w:rStyle w:val="Hyperlink"/>
            <w:b/>
            <w:bCs/>
          </w:rPr>
          <w:t xml:space="preserve">Hong Kong VASP regime</w:t>
        </w:r>
      </w:hyperlink>
      <w:r>
        <w:t xml:space="preserve">: service providers</w:t>
      </w:r>
      <w:r>
        <w:t xml:space="preserve"> </w:t>
      </w:r>
      <w:r>
        <w:rPr>
          <w:b/>
          <w:bCs/>
        </w:rPr>
        <w:t xml:space="preserve">self-review</w:t>
      </w:r>
      <w:r>
        <w:t xml:space="preserve"> </w:t>
      </w:r>
      <w:r>
        <w:t xml:space="preserve">listed tokens;</w:t>
      </w:r>
    </w:p>
    <w:p>
      <w:pPr>
        <w:pStyle w:val="Compact"/>
        <w:numPr>
          <w:ilvl w:val="0"/>
          <w:numId w:val="1002"/>
        </w:numPr>
      </w:pPr>
      <w:hyperlink r:id="rId23">
        <w:r>
          <w:rPr>
            <w:rStyle w:val="Hyperlink"/>
            <w:b/>
            <w:bCs/>
          </w:rPr>
          <w:t xml:space="preserve">Japan PSA</w:t>
        </w:r>
      </w:hyperlink>
      <w:r>
        <w:rPr>
          <w:b/>
          <w:bCs/>
        </w:rPr>
        <w:t xml:space="preserve"> </w:t>
      </w:r>
      <w:r>
        <w:rPr>
          <w:b/>
          <w:bCs/>
        </w:rPr>
        <w:t xml:space="preserve">plus Cabinet Office Order</w:t>
      </w:r>
      <w:r>
        <w:t xml:space="preserve">: service providers submit assessments to the</w:t>
      </w:r>
      <w:r>
        <w:t xml:space="preserve"> </w:t>
      </w:r>
      <w:r>
        <w:rPr>
          <w:b/>
          <w:bCs/>
        </w:rPr>
        <w:t xml:space="preserve">industry association</w:t>
      </w:r>
      <w:r>
        <w:t xml:space="preserve">, with</w:t>
      </w:r>
      <w:r>
        <w:t xml:space="preserve"> </w:t>
      </w:r>
      <w:r>
        <w:rPr>
          <w:b/>
          <w:bCs/>
        </w:rPr>
        <w:t xml:space="preserve">prior notice to the FSA</w:t>
      </w:r>
      <w:r>
        <w:t xml:space="preserve"> </w:t>
      </w:r>
      <w:r>
        <w:t xml:space="preserve">sufficient;</w:t>
      </w:r>
    </w:p>
    <w:p>
      <w:pPr>
        <w:pStyle w:val="Compact"/>
        <w:numPr>
          <w:ilvl w:val="0"/>
          <w:numId w:val="1002"/>
        </w:numPr>
      </w:pPr>
      <w:r>
        <w:rPr>
          <w:b/>
          <w:bCs/>
        </w:rPr>
        <w:t xml:space="preserve">Malaysia</w:t>
      </w:r>
      <w:r>
        <w:t xml:space="preserve">: starting in 2026, exchanges are permitted to</w:t>
      </w:r>
      <w:r>
        <w:t xml:space="preserve"> </w:t>
      </w:r>
      <w:r>
        <w:rPr>
          <w:b/>
          <w:bCs/>
        </w:rPr>
        <w:t xml:space="preserve">freely list</w:t>
      </w:r>
      <w:r>
        <w:t xml:space="preserve">, subject only to conditions such as "at least one year of trading history."</w:t>
      </w:r>
    </w:p>
    <w:p>
      <w:pPr>
        <w:pStyle w:val="BlockText"/>
      </w:pPr>
      <w:r>
        <w:t xml:space="preserve">At the review session in 2026, I said:</w:t>
      </w:r>
    </w:p>
    <w:p>
      <w:pPr>
        <w:pStyle w:val="BlockText"/>
      </w:pPr>
      <w:r>
        <w:t xml:space="preserve">"None of these countries has this kind of requirement that approval from the competent authority is needed before a token may be listed. There is no real need for the FSC to stand alone in this."</w:t>
      </w:r>
    </w:p>
    <w:p>
      <w:pPr>
        <w:pStyle w:val="BlockText"/>
      </w:pPr>
      <w:r>
        <w:rPr>
          <w:i/>
          <w:iCs/>
        </w:rPr>
        <w:t xml:space="preserve">— from the Chinese original: </w:t>
      </w:r>
      <w:r>
        <w:rPr>
          <w:rFonts w:hint="eastAsia"/>
          <w:i/>
          <w:iCs/>
        </w:rPr>
        <w:t xml:space="preserve">「這些國家都沒有這種『還需主管機關同意才能上架』的規範，金管會實在不需要特立獨行。」</w:t>
      </w:r>
    </w:p>
    <w:bookmarkEnd w:id="24"/>
    <w:bookmarkStart w:id="25" w:name="the-exchange-on-the-floor"/>
    <w:p>
      <w:pPr>
        <w:pStyle w:val="Heading4"/>
      </w:pPr>
      <w:r>
        <w:t xml:space="preserve">The exchange on the floor</w:t>
      </w:r>
    </w:p>
    <w:p>
      <w:pPr>
        <w:pStyle w:val="FirstParagraph"/>
      </w:pPr>
      <w:r>
        <w:t xml:space="preserve">The FSC's response was roughly: "We believe that an</w:t>
      </w:r>
      <w:r>
        <w:t xml:space="preserve"> </w:t>
      </w:r>
      <w:r>
        <w:rPr>
          <w:i/>
          <w:iCs/>
        </w:rPr>
        <w:t xml:space="preserve">ex ante</w:t>
      </w:r>
      <w:r>
        <w:t xml:space="preserve"> </w:t>
      </w:r>
      <w:r>
        <w:t xml:space="preserve">approval regime is necessary to protect investors. The secondary legislation will set out clear time limits."</w:t>
      </w:r>
    </w:p>
    <w:p>
      <w:pPr>
        <w:pStyle w:val="BodyText"/>
      </w:pPr>
      <w:r>
        <w:t xml:space="preserve">I shot back with three key points.</w:t>
      </w:r>
    </w:p>
    <w:p>
      <w:pPr>
        <w:pStyle w:val="BodyText"/>
      </w:pPr>
      <w:r>
        <w:rPr>
          <w:b/>
          <w:bCs/>
        </w:rPr>
        <w:t xml:space="preserve">First, are there precedents in current law?</w:t>
      </w:r>
    </w:p>
    <w:p>
      <w:pPr>
        <w:pStyle w:val="BlockText"/>
      </w:pPr>
      <w:r>
        <w:t xml:space="preserve">"This kind of design is hardly without precedent in our existing financial law. Take the Securities and Exchange Act: the listing review rules and the listing contract template of the Taiwan Stock Exchange are approved by the competent authority, but afterwards the issuer and the exchange sign their contracts themselves and</w:t>
      </w:r>
      <w:r>
        <w:t xml:space="preserve"> </w:t>
      </w:r>
      <w:r>
        <w:rPr>
          <w:b/>
          <w:bCs/>
        </w:rPr>
        <w:t xml:space="preserve">file them for record</w:t>
      </w:r>
      <w:r>
        <w:t xml:space="preserve"> </w:t>
      </w:r>
      <w:r>
        <w:t xml:space="preserve">with the competent authority — not every contract is approved individually in advance. See Articles 140 and 141 of the Securities and Exchange Act."</w:t>
      </w:r>
    </w:p>
    <w:p>
      <w:pPr>
        <w:pStyle w:val="BlockText"/>
      </w:pPr>
      <w:r>
        <w:rPr>
          <w:i/>
          <w:iCs/>
        </w:rPr>
        <w:t xml:space="preserve">— from the Chinese original.</w:t>
      </w:r>
    </w:p>
    <w:p>
      <w:pPr>
        <w:pStyle w:val="FirstParagraph"/>
      </w:pPr>
      <w:r>
        <w:t xml:space="preserve">In other words, the three-step design of "approve the</w:t>
      </w:r>
      <w:r>
        <w:t xml:space="preserve"> </w:t>
      </w:r>
      <w:r>
        <w:rPr>
          <w:b/>
          <w:bCs/>
        </w:rPr>
        <w:t xml:space="preserve">standard</w:t>
      </w:r>
      <w:r>
        <w:t xml:space="preserve">, let the operator</w:t>
      </w:r>
      <w:r>
        <w:t xml:space="preserve"> </w:t>
      </w:r>
      <w:r>
        <w:rPr>
          <w:b/>
          <w:bCs/>
        </w:rPr>
        <w:t xml:space="preserve">act</w:t>
      </w:r>
      <w:r>
        <w:t xml:space="preserve"> </w:t>
      </w:r>
      <w:r>
        <w:t xml:space="preserve">under the standard, and then</w:t>
      </w:r>
      <w:r>
        <w:t xml:space="preserve"> </w:t>
      </w:r>
      <w:r>
        <w:rPr>
          <w:b/>
          <w:bCs/>
        </w:rPr>
        <w:t xml:space="preserve">file for record</w:t>
      </w:r>
      <w:r>
        <w:t xml:space="preserve"> </w:t>
      </w:r>
      <w:r>
        <w:t xml:space="preserve">afterwards" is something Taiwan's financial law has always had. I did not invent it.</w:t>
      </w:r>
    </w:p>
    <w:p>
      <w:pPr>
        <w:pStyle w:val="BodyText"/>
      </w:pPr>
      <w:r>
        <w:rPr>
          <w:b/>
          <w:bCs/>
        </w:rPr>
        <w:t xml:space="preserve">Second, how does the new stablecoin guidance from the Taiwan Stock Exchange fit?</w:t>
      </w:r>
    </w:p>
    <w:p>
      <w:pPr>
        <w:pStyle w:val="BlockText"/>
      </w:pPr>
      <w:r>
        <w:t xml:space="preserve">"The exchange just issued guidance on the two major crypto-assets (USDT and USDC). If this Act requires 'approval from the FSC,' then since USDT and USDC have not been approved by the FSC, does that mean the exchange's guidance is invalid? How is industry supposed to prepare?"</w:t>
      </w:r>
    </w:p>
    <w:p>
      <w:pPr>
        <w:pStyle w:val="FirstParagraph"/>
      </w:pPr>
      <w:r>
        <w:t xml:space="preserve">This was the most silent moment of the day. Once the legal logic reaches this kind of contradiction, the FSC's own existing guidance is immediately negated by itself.</w:t>
      </w:r>
    </w:p>
    <w:p>
      <w:pPr>
        <w:pStyle w:val="BodyText"/>
      </w:pPr>
      <w:r>
        <w:rPr>
          <w:b/>
          <w:bCs/>
        </w:rPr>
        <w:t xml:space="preserve">Third, does shifting from "approval" to "filing for record" mean the competent authority loses its supervisory power?</w:t>
      </w:r>
    </w:p>
    <w:p>
      <w:pPr>
        <w:pStyle w:val="BlockText"/>
      </w:pPr>
      <w:r>
        <w:t xml:space="preserve">"No, it does not. If the competent authority finds that a particular virtual asset is unlawful, poses major risks, or is otherwise unsuitable for trading, it can</w:t>
      </w:r>
      <w:r>
        <w:t xml:space="preserve"> </w:t>
      </w:r>
      <w:r>
        <w:rPr>
          <w:b/>
          <w:bCs/>
        </w:rPr>
        <w:t xml:space="preserve">still rely on its statutory supervisory power</w:t>
      </w:r>
      <w:r>
        <w:t xml:space="preserve"> </w:t>
      </w:r>
      <w:r>
        <w:t xml:space="preserve">to require the operator to adjust, delist, or take other necessary measures."</w:t>
      </w:r>
    </w:p>
    <w:p>
      <w:pPr>
        <w:pStyle w:val="FirstParagraph"/>
      </w:pPr>
      <w:r>
        <w:t xml:space="preserve">I emphasized this point repeatedly:</w:t>
      </w:r>
      <w:r>
        <w:t xml:space="preserve"> </w:t>
      </w:r>
      <w:r>
        <w:rPr>
          <w:b/>
          <w:bCs/>
        </w:rPr>
        <w:t xml:space="preserve">a "filing for record" regime is not a "laissez-faire" regime.</w:t>
      </w:r>
      <w:r>
        <w:t xml:space="preserve"> </w:t>
      </w:r>
      <w:r>
        <w:t xml:space="preserve">The competent authority retains its power to supervise and to sanction under the law at any time. The only difference is that the review burden shifts from</w:t>
      </w:r>
      <w:r>
        <w:t xml:space="preserve"> </w:t>
      </w:r>
      <w:r>
        <w:rPr>
          <w:i/>
          <w:iCs/>
        </w:rPr>
        <w:t xml:space="preserve">ex ante</w:t>
      </w:r>
      <w:r>
        <w:t xml:space="preserve"> </w:t>
      </w:r>
      <w:r>
        <w:t xml:space="preserve">to</w:t>
      </w:r>
      <w:r>
        <w:t xml:space="preserve"> </w:t>
      </w:r>
      <w:r>
        <w:rPr>
          <w:i/>
          <w:iCs/>
        </w:rPr>
        <w:t xml:space="preserve">ex post</w:t>
      </w:r>
      <w:r>
        <w:t xml:space="preserve">.</w:t>
      </w:r>
    </w:p>
    <w:bookmarkEnd w:id="25"/>
    <w:bookmarkStart w:id="26" w:name="result"/>
    <w:p>
      <w:pPr>
        <w:pStyle w:val="Heading4"/>
      </w:pPr>
      <w:r>
        <w:t xml:space="preserve">Result</w:t>
      </w:r>
    </w:p>
    <w:p>
      <w:pPr>
        <w:pStyle w:val="FirstParagraph"/>
      </w:pPr>
      <w:r>
        <w:t xml:space="preserve">The passed version of Article 25, Paragraph 2 reads:</w:t>
      </w:r>
    </w:p>
    <w:p>
      <w:pPr>
        <w:pStyle w:val="BlockText"/>
      </w:pPr>
      <w:r>
        <w:t xml:space="preserve">"A virtual asset trading platform shall, with respect to the virtual assets for which it provides centralized market services,</w:t>
      </w:r>
      <w:r>
        <w:t xml:space="preserve"> </w:t>
      </w:r>
      <w:r>
        <w:rPr>
          <w:b/>
          <w:bCs/>
        </w:rPr>
        <w:t xml:space="preserve">file them for record with the competent authority</w:t>
      </w:r>
      <w:r>
        <w:t xml:space="preserve">; …"</w:t>
      </w:r>
    </w:p>
    <w:p>
      <w:pPr>
        <w:pStyle w:val="FirstParagraph"/>
      </w:pPr>
      <w:r>
        <w:t xml:space="preserve">🟢🟡</w:t>
      </w:r>
      <w:r>
        <w:t xml:space="preserve"> </w:t>
      </w:r>
      <w:r>
        <w:rPr>
          <w:b/>
          <w:bCs/>
        </w:rPr>
        <w:t xml:space="preserve">Highly adopted (the one-character compromise).</w:t>
      </w:r>
      <w:r>
        <w:t xml:space="preserve"> </w:t>
      </w:r>
      <w:r>
        <w:t xml:space="preserve">My original text was "</w:t>
      </w:r>
      <w:r>
        <w:rPr>
          <w:b/>
          <w:bCs/>
        </w:rPr>
        <w:t xml:space="preserve">filing-only</w:t>
      </w:r>
      <w:r>
        <w:t xml:space="preserve"> </w:t>
      </w:r>
      <w:r>
        <w:rPr>
          <w:rFonts w:hint="eastAsia"/>
        </w:rPr>
        <w:t xml:space="preserve">(備查)"</w:t>
      </w:r>
      <w:r>
        <w:t xml:space="preserve"> — pure notification, no proactive review. The passed version uses "</w:t>
      </w:r>
      <w:r>
        <w:rPr>
          <w:b/>
          <w:bCs/>
        </w:rPr>
        <w:t xml:space="preserve">filing for record</w:t>
      </w:r>
      <w:r>
        <w:t xml:space="preserve"> </w:t>
      </w:r>
      <w:r>
        <w:rPr>
          <w:rFonts w:hint="eastAsia"/>
        </w:rPr>
        <w:t xml:space="preserve">(核備)"</w:t>
      </w:r>
      <w:r>
        <w:t xml:space="preserve"> — a lighter procedural review that retains the authority's right to push back. One character apart, not perfect, but the</w:t>
      </w:r>
      <w:r>
        <w:t xml:space="preserve"> </w:t>
      </w:r>
      <w:r>
        <w:rPr>
          <w:b/>
          <w:bCs/>
        </w:rPr>
        <w:t xml:space="preserve">core principle of "ex post supervision" survives</w:t>
      </w:r>
      <w:r>
        <w:t xml:space="preserve">, and the cabinet's original "</w:t>
      </w:r>
      <w:r>
        <w:rPr>
          <w:b/>
          <w:bCs/>
        </w:rPr>
        <w:t xml:space="preserve">approval regime</w:t>
      </w:r>
      <w:r>
        <w:t xml:space="preserve"> </w:t>
      </w:r>
      <w:r>
        <w:rPr>
          <w:rFonts w:hint="eastAsia"/>
        </w:rPr>
        <w:t xml:space="preserve">(同意)"</w:t>
      </w:r>
      <w:r>
        <w:t xml:space="preserve"> — which would have meant</w:t>
      </w:r>
      <w:r>
        <w:t xml:space="preserve"> </w:t>
      </w:r>
      <w:r>
        <w:rPr>
          <w:i/>
          <w:iCs/>
        </w:rPr>
        <w:t xml:space="preserve">ex ante</w:t>
      </w:r>
      <w:r>
        <w:t xml:space="preserve"> </w:t>
      </w:r>
      <w:r>
        <w:t xml:space="preserve">substantive review with the authority holding a yes/no veto — is gone.</w:t>
      </w:r>
    </w:p>
    <w:p>
      <w:pPr>
        <w:pStyle w:val="BodyText"/>
      </w:pPr>
      <w:r>
        <w:t xml:space="preserve">A brief comparative ladder: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Regime</w:t>
            </w:r>
          </w:p>
        </w:tc>
        <w:tc>
          <w:tcPr/>
          <w:p>
            <w:pPr>
              <w:pStyle w:val="Compact"/>
            </w:pPr>
            <w:r>
              <w:t xml:space="preserve">Procedure</w:t>
            </w:r>
          </w:p>
        </w:tc>
        <w:tc>
          <w:tcPr/>
          <w:p>
            <w:pPr>
              <w:pStyle w:val="Compact"/>
            </w:pPr>
            <w:r>
              <w:t xml:space="preserve">Authority's role</w:t>
            </w:r>
          </w:p>
        </w:tc>
      </w:tr>
      <w:tr>
        <w:tc>
          <w:tcPr/>
          <w:p>
            <w:pPr>
              <w:pStyle w:val="Compact"/>
            </w:pPr>
            <w:r>
              <w:rPr>
                <w:b/>
                <w:bCs/>
              </w:rPr>
              <w:t xml:space="preserve">Approval </w:t>
            </w:r>
            <w:r>
              <w:rPr>
                <w:rFonts w:hint="eastAsia"/>
                <w:b/>
                <w:bCs/>
              </w:rPr>
              <w:t xml:space="preserve">(同意)</w:t>
            </w:r>
          </w:p>
        </w:tc>
        <w:tc>
          <w:tcPr/>
          <w:p>
            <w:pPr>
              <w:pStyle w:val="Compact"/>
            </w:pPr>
            <w:r>
              <w:rPr>
                <w:i/>
                <w:iCs/>
              </w:rPr>
              <w:t xml:space="preserve">Ex ante</w:t>
            </w:r>
            <w:r>
              <w:t xml:space="preserve"> </w:t>
            </w:r>
            <w:r>
              <w:t xml:space="preserve">substantive review</w:t>
            </w:r>
          </w:p>
        </w:tc>
        <w:tc>
          <w:tcPr/>
          <w:p>
            <w:pPr>
              <w:pStyle w:val="Compact"/>
            </w:pPr>
            <w:r>
              <w:t xml:space="preserve">Holds consent power; may approve or reject</w:t>
            </w:r>
          </w:p>
        </w:tc>
      </w:tr>
      <w:tr>
        <w:tc>
          <w:tcPr/>
          <w:p>
            <w:pPr>
              <w:pStyle w:val="Compact"/>
            </w:pPr>
            <w:r>
              <w:rPr>
                <w:b/>
                <w:bCs/>
              </w:rPr>
              <w:t xml:space="preserve">Filing for record </w:t>
            </w:r>
            <w:r>
              <w:rPr>
                <w:rFonts w:hint="eastAsia"/>
                <w:b/>
                <w:bCs/>
              </w:rPr>
              <w:t xml:space="preserve">(核備)</w:t>
            </w:r>
          </w:p>
        </w:tc>
        <w:tc>
          <w:tcPr/>
          <w:p>
            <w:pPr>
              <w:pStyle w:val="Compact"/>
            </w:pPr>
            <w:r>
              <w:rPr>
                <w:i/>
                <w:iCs/>
              </w:rPr>
              <w:t xml:space="preserve">Ex ante</w:t>
            </w:r>
            <w:r>
              <w:t xml:space="preserve"> </w:t>
            </w:r>
            <w:r>
              <w:t xml:space="preserve">submission, lightweight procedure</w:t>
            </w:r>
          </w:p>
        </w:tc>
        <w:tc>
          <w:tcPr/>
          <w:p>
            <w:pPr>
              <w:pStyle w:val="Compact"/>
            </w:pPr>
            <w:r>
              <w:t xml:space="preserve">Retains review/objection rights; lighter process</w:t>
            </w:r>
          </w:p>
        </w:tc>
      </w:tr>
      <w:tr>
        <w:tc>
          <w:tcPr/>
          <w:p>
            <w:pPr>
              <w:pStyle w:val="Compact"/>
            </w:pPr>
            <w:r>
              <w:rPr>
                <w:b/>
                <w:bCs/>
              </w:rPr>
              <w:t xml:space="preserve">Filing-only </w:t>
            </w:r>
            <w:r>
              <w:rPr>
                <w:rFonts w:hint="eastAsia"/>
                <w:b/>
                <w:bCs/>
              </w:rPr>
              <w:t xml:space="preserve">(備查)</w:t>
            </w:r>
          </w:p>
        </w:tc>
        <w:tc>
          <w:tcPr/>
          <w:p>
            <w:pPr>
              <w:pStyle w:val="Compact"/>
            </w:pPr>
            <w:r>
              <w:t xml:space="preserve">Pure post-hoc notification</w:t>
            </w:r>
          </w:p>
        </w:tc>
        <w:tc>
          <w:tcPr/>
          <w:p>
            <w:pPr>
              <w:pStyle w:val="Compact"/>
            </w:pPr>
            <w:r>
              <w:t xml:space="preserve">Does not actively review; keeps records</w:t>
            </w:r>
          </w:p>
        </w:tc>
      </w:tr>
    </w:tbl>
    <w:p>
      <w:pPr>
        <w:pStyle w:val="BodyText"/>
      </w:pPr>
      <w:r>
        <w:t xml:space="preserve">On this ladder, "filing for record" sits between approval and filing-only, and</w:t>
      </w:r>
      <w:r>
        <w:t xml:space="preserve"> </w:t>
      </w:r>
      <w:r>
        <w:rPr>
          <w:b/>
          <w:bCs/>
        </w:rPr>
        <w:t xml:space="preserve">leans toward the filing-only end</w:t>
      </w:r>
      <w:r>
        <w:t xml:space="preserve">. The KO version wanted the lightest end; the passed version landed in the middle. Not the full distance — but</w:t>
      </w:r>
      <w:r>
        <w:t xml:space="preserve"> </w:t>
      </w:r>
      <w:r>
        <w:rPr>
          <w:b/>
          <w:bCs/>
        </w:rPr>
        <w:t xml:space="preserve">a substantial retreat from "approval"</w:t>
      </w:r>
      <w:r>
        <w:t xml:space="preserve">, and far more breathing room for the industry.</w:t>
      </w:r>
    </w:p>
    <w:p>
      <w:pPr>
        <w:pStyle w:val="BodyText"/>
      </w:pPr>
      <w:r>
        <w:t xml:space="preserve">And — this is what made me especially happy and want to emphasize — I had simultaneously personally proposed</w:t>
      </w:r>
      <w:r>
        <w:t xml:space="preserve"> </w:t>
      </w:r>
      <w:r>
        <w:rPr>
          <w:b/>
          <w:bCs/>
        </w:rPr>
        <w:t xml:space="preserve">a supplementary resolution (No. 15, attachment page-16)</w:t>
      </w:r>
      <w:r>
        <w:t xml:space="preserve"> </w:t>
      </w:r>
      <w:r>
        <w:t xml:space="preserve">requiring the FSC to, in drafting the secondary legislation:</w:t>
      </w:r>
    </w:p>
    <w:p>
      <w:pPr>
        <w:pStyle w:val="BlockText"/>
      </w:pPr>
      <w:r>
        <w:t xml:space="preserve">"… also draft the relevant filing-for-record rules, and set clear time limits in the review process. Except where the competent authority finds extension necessary on reasonable grounds,</w:t>
      </w:r>
      <w:r>
        <w:t xml:space="preserve"> </w:t>
      </w:r>
      <w:r>
        <w:rPr>
          <w:b/>
          <w:bCs/>
        </w:rPr>
        <w:t xml:space="preserve">the review shall use fifteen days as the basis</w:t>
      </w:r>
      <w:r>
        <w:t xml:space="preserve">, while building a case-progress lookup and overdue-handling mechanism, to improve transparency and administrative efficiency while balancing the authority's supervisory needs with the procedural rights of applicants."</w:t>
      </w:r>
    </w:p>
    <w:p>
      <w:pPr>
        <w:pStyle w:val="BlockText"/>
      </w:pPr>
      <w:r>
        <w:t xml:space="preserve">— Proposer: KO Ju-Chun</w:t>
      </w:r>
    </w:p>
    <w:p>
      <w:pPr>
        <w:pStyle w:val="FirstParagraph"/>
      </w:pPr>
      <w:r>
        <w:t xml:space="preserve">The six characters "</w:t>
      </w:r>
      <w:r>
        <w:rPr>
          <w:rFonts w:hint="eastAsia"/>
          <w:b/>
          <w:bCs/>
        </w:rPr>
        <w:t xml:space="preserve">十五日為基準</w:t>
      </w:r>
      <w:r>
        <w:t xml:space="preserve">" ("using fifteen days as the basis") matter enormously:</w:t>
      </w:r>
    </w:p>
    <w:p>
      <w:pPr>
        <w:pStyle w:val="Compact"/>
        <w:numPr>
          <w:ilvl w:val="0"/>
          <w:numId w:val="1003"/>
        </w:numPr>
      </w:pPr>
      <w:r>
        <w:t xml:space="preserve">They prevent "filing for record" from becoming a covert form of</w:t>
      </w:r>
      <w:r>
        <w:t xml:space="preserve"> </w:t>
      </w:r>
      <w:r>
        <w:rPr>
          <w:i/>
          <w:iCs/>
        </w:rPr>
        <w:t xml:space="preserve">ex ante</w:t>
      </w:r>
      <w:r>
        <w:t xml:space="preserve"> </w:t>
      </w:r>
      <w:r>
        <w:t xml:space="preserve">approval — the authority cannot stretch "I'm still reviewing" indefinitely.</w:t>
      </w:r>
    </w:p>
    <w:p>
      <w:pPr>
        <w:pStyle w:val="Compact"/>
        <w:numPr>
          <w:ilvl w:val="0"/>
          <w:numId w:val="1003"/>
        </w:numPr>
      </w:pPr>
      <w:r>
        <w:t xml:space="preserve">They write</w:t>
      </w:r>
      <w:r>
        <w:t xml:space="preserve"> </w:t>
      </w:r>
      <w:r>
        <w:rPr>
          <w:b/>
          <w:bCs/>
        </w:rPr>
        <w:t xml:space="preserve">procedural rights</w:t>
      </w:r>
      <w:r>
        <w:t xml:space="preserve"> </w:t>
      </w:r>
      <w:r>
        <w:t xml:space="preserve">into the political record: the applicant has the right to know progress and to invoke overdue-handling.</w:t>
      </w:r>
    </w:p>
    <w:p>
      <w:pPr>
        <w:pStyle w:val="Compact"/>
        <w:numPr>
          <w:ilvl w:val="0"/>
          <w:numId w:val="1003"/>
        </w:numPr>
      </w:pPr>
      <w:r>
        <w:t xml:space="preserve">They preserve regulatory flexibility — "except where extension is necessary on reasonable grounds" — so the system is not rigid.</w:t>
      </w:r>
    </w:p>
    <w:p>
      <w:pPr>
        <w:pStyle w:val="FirstParagraph"/>
      </w:pPr>
      <w:r>
        <w:t xml:space="preserve">This supplementary resolution, plus the clause change from "approval" to "filing for record," together convert what could have been a "regulation vs. industry" stand-off into a</w:t>
      </w:r>
      <w:r>
        <w:t xml:space="preserve"> </w:t>
      </w:r>
      <w:r>
        <w:rPr>
          <w:b/>
          <w:bCs/>
        </w:rPr>
        <w:t xml:space="preserve">"regulation plus due process"</w:t>
      </w:r>
      <w:r>
        <w:t xml:space="preserve"> </w:t>
      </w:r>
      <w:r>
        <w:t xml:space="preserve">dual-track design.</w:t>
      </w:r>
    </w:p>
    <w:bookmarkEnd w:id="26"/>
    <w:bookmarkStart w:id="27" w:name="why-this-fight-has-lasting-impact"/>
    <w:p>
      <w:pPr>
        <w:pStyle w:val="Heading4"/>
      </w:pPr>
      <w:r>
        <w:t xml:space="preserve">Why this fight has lasting impact</w:t>
      </w:r>
    </w:p>
    <w:p>
      <w:pPr>
        <w:pStyle w:val="FirstParagraph"/>
      </w:pPr>
      <w:r>
        <w:t xml:space="preserve">Shifting Article 25, Paragraph 2 from "approval" to "filing for record"</w:t>
      </w:r>
      <w:r>
        <w:t xml:space="preserve"> </w:t>
      </w:r>
      <w:r>
        <w:rPr>
          <w:b/>
          <w:bCs/>
        </w:rPr>
        <w:t xml:space="preserve">directly determines the breathing rate of Taiwan's virtual asset trading market</w:t>
      </w:r>
      <w:r>
        <w:t xml:space="preserve">.</w:t>
      </w:r>
    </w:p>
    <w:p>
      <w:pPr>
        <w:pStyle w:val="BodyText"/>
      </w:pPr>
      <w:r>
        <w:t xml:space="preserve">Under an "approval regime," the competitiveness of Taiwan's exchanges would be chained to the speed of FSC review, unable to keep up with international rhythm. Capital would continue to flow out to overseas platforms, leaving Taiwan's operators to collect the scraps.</w:t>
      </w:r>
    </w:p>
    <w:p>
      <w:pPr>
        <w:pStyle w:val="BodyText"/>
      </w:pPr>
      <w:r>
        <w:t xml:space="preserve">Under a "filing-for-record regime," Taiwan's operators can list tokens autonomously in accordance with review standards set jointly by the trade association and the competent authority, while the competent authority retains</w:t>
      </w:r>
      <w:r>
        <w:t xml:space="preserve"> </w:t>
      </w:r>
      <w:r>
        <w:rPr>
          <w:i/>
          <w:iCs/>
        </w:rPr>
        <w:t xml:space="preserve">ex post</w:t>
      </w:r>
      <w:r>
        <w:t xml:space="preserve"> </w:t>
      </w:r>
      <w:r>
        <w:t xml:space="preserve">supervisory power.</w:t>
      </w:r>
      <w:r>
        <w:t xml:space="preserve"> </w:t>
      </w:r>
      <w:r>
        <w:rPr>
          <w:b/>
          <w:bCs/>
        </w:rPr>
        <w:t xml:space="preserve">This is the single most important compromise between "regulation vs. innovation," and we picked the right side.</w:t>
      </w:r>
    </w:p>
    <w:p>
      <w:pPr>
        <w:pStyle w:val="BodyText"/>
      </w:pPr>
      <w:r>
        <w:t xml:space="preserve">This is the clause I am proudest of, and most confident about, in writing this notebook.</w:t>
      </w:r>
    </w:p>
    <w:p>
      <w:r>
        <w:pict>
          <v:rect style="width:0;height:1.5pt" o:hralign="center" o:hrstd="t" o:hr="t"/>
        </w:pict>
      </w:r>
    </w:p>
    <w:bookmarkEnd w:id="27"/>
    <w:bookmarkEnd w:id="28"/>
    <w:bookmarkStart w:id="34" w:name="X005ed7551350fede67054b778d16c1864bd3748"/>
    <w:p>
      <w:pPr>
        <w:pStyle w:val="Heading3"/>
      </w:pPr>
      <w:r>
        <w:t xml:space="preserve">Battle Two: Article 20 — The 20-Day Limit on Suspension of Trading</w:t>
      </w:r>
    </w:p>
    <w:p>
      <w:pPr>
        <w:pStyle w:val="FirstParagraph"/>
      </w:pPr>
      <w:r>
        <w:t xml:space="preserve">This one I</w:t>
      </w:r>
      <w:r>
        <w:t xml:space="preserve"> </w:t>
      </w:r>
      <w:r>
        <w:rPr>
          <w:b/>
          <w:bCs/>
        </w:rPr>
        <w:t xml:space="preserve">did not hold the line on</w:t>
      </w:r>
      <w:r>
        <w:t xml:space="preserve">. But I want to write it honestly, because this clause touched the value I care about most: due process protection for citizens' property rights.</w:t>
      </w:r>
    </w:p>
    <w:bookmarkStart w:id="29" w:name="why-this-is-needed"/>
    <w:p>
      <w:pPr>
        <w:pStyle w:val="Heading4"/>
      </w:pPr>
      <w:r>
        <w:t xml:space="preserve">Why this is needed</w:t>
      </w:r>
    </w:p>
    <w:p>
      <w:pPr>
        <w:pStyle w:val="FirstParagraph"/>
      </w:pPr>
      <w:r>
        <w:t xml:space="preserve">Executive Yuan version, Article 20, Paragraph 2:</w:t>
      </w:r>
    </w:p>
    <w:p>
      <w:pPr>
        <w:pStyle w:val="BlockText"/>
      </w:pPr>
      <w:r>
        <w:t xml:space="preserve">"A virtual asset service provider may suspend the transfer-in, withdrawal, or transfer-out of customer assets, or suspend all or part of trading functions, for customers whose transactions are suspected of being illegal or manifestly anomalous."</w:t>
      </w:r>
    </w:p>
    <w:p>
      <w:pPr>
        <w:pStyle w:val="FirstParagraph"/>
      </w:pPr>
      <w:r>
        <w:rPr>
          <w:b/>
          <w:bCs/>
        </w:rPr>
        <w:t xml:space="preserve">Note: there is no time limit on this clause.</w:t>
      </w:r>
    </w:p>
    <w:p>
      <w:pPr>
        <w:pStyle w:val="BodyText"/>
      </w:pPr>
      <w:r>
        <w:t xml:space="preserve">Combating fraud is obviously important. But imagine a scenario:</w:t>
      </w:r>
    </w:p>
    <w:p>
      <w:pPr>
        <w:pStyle w:val="BlockText"/>
      </w:pPr>
      <w:r>
        <w:t xml:space="preserve">You went to the night market to grab dinner. You helped a self-described "foreign tourist without cash" by receiving a small payment in New Taiwan Dollars via LINE Pay and then handing them physical cash. Three days later your bank account is flagged because that payment had at some point passed through a node controlled by a fraud ring. You cannot pay rent. Your National Health Insurance premium cannot be deducted. The money for your elderly parents' hospital visits cannot be withdrawn.</w:t>
      </w:r>
    </w:p>
    <w:p>
      <w:pPr>
        <w:pStyle w:val="FirstParagraph"/>
      </w:pPr>
      <w:r>
        <w:t xml:space="preserve">This is not hypothetical. This was a scenario that appeared again and again in the news in 2025. Fraud rings turn strangers into money-laundering tools, and victims</w:t>
      </w:r>
      <w:r>
        <w:t xml:space="preserve"> </w:t>
      </w:r>
      <w:r>
        <w:rPr>
          <w:b/>
          <w:bCs/>
        </w:rPr>
        <w:t xml:space="preserve">lose not only money but also have their accounts frozen for three months, half a year, or longer</w:t>
      </w:r>
      <w:r>
        <w:t xml:space="preserve">.</w:t>
      </w:r>
    </w:p>
    <w:p>
      <w:pPr>
        <w:pStyle w:val="BodyText"/>
      </w:pPr>
      <w:r>
        <w:t xml:space="preserve">If VASPs have no time-limit rule, they will become the digital version of "warning-flagged bank accounts."</w:t>
      </w:r>
    </w:p>
    <w:bookmarkEnd w:id="29"/>
    <w:bookmarkStart w:id="30" w:name="the-text-i-proposed"/>
    <w:p>
      <w:pPr>
        <w:pStyle w:val="Heading4"/>
      </w:pPr>
      <w:r>
        <w:t xml:space="preserve">The text I proposed</w:t>
      </w:r>
    </w:p>
    <w:p>
      <w:pPr>
        <w:pStyle w:val="FirstParagraph"/>
      </w:pPr>
      <w:r>
        <w:t xml:space="preserve">Drawing on the 20-day rule in the existing "Regulations on the Anti-Fraud Compliance Obligations of Financial Institutions and VASPs," I proposed adding the following text at the end of Article 20, Paragraph 2:</w:t>
      </w:r>
    </w:p>
    <w:p>
      <w:pPr>
        <w:pStyle w:val="BlockText"/>
      </w:pPr>
      <w:r>
        <w:t xml:space="preserve">"… Except where judicial police or other competent authority requires continued control measures, such restrictive measures shall be</w:t>
      </w:r>
      <w:r>
        <w:t xml:space="preserve"> </w:t>
      </w:r>
      <w:r>
        <w:rPr>
          <w:b/>
          <w:bCs/>
        </w:rPr>
        <w:t xml:space="preserve">limited to twenty days</w:t>
      </w:r>
      <w:r>
        <w:t xml:space="preserve">, with</w:t>
      </w:r>
      <w:r>
        <w:t xml:space="preserve"> </w:t>
      </w:r>
      <w:r>
        <w:rPr>
          <w:b/>
          <w:bCs/>
        </w:rPr>
        <w:t xml:space="preserve">extension permitted when necessary</w:t>
      </w:r>
      <w:r>
        <w:t xml:space="preserve">."</w:t>
      </w:r>
    </w:p>
    <w:p>
      <w:pPr>
        <w:pStyle w:val="FirstParagraph"/>
      </w:pPr>
      <w:r>
        <w:t xml:space="preserve">Two key design choices:</w:t>
      </w:r>
    </w:p>
    <w:p>
      <w:pPr>
        <w:pStyle w:val="Compact"/>
        <w:numPr>
          <w:ilvl w:val="0"/>
          <w:numId w:val="1004"/>
        </w:numPr>
      </w:pPr>
      <w:r>
        <w:rPr>
          <w:b/>
          <w:bCs/>
        </w:rPr>
        <w:t xml:space="preserve">20 days as the default</w:t>
      </w:r>
      <w:r>
        <w:t xml:space="preserve">: any restriction based on the operator's own judgment cannot exceed twenty days;</w:t>
      </w:r>
    </w:p>
    <w:p>
      <w:pPr>
        <w:pStyle w:val="Compact"/>
        <w:numPr>
          <w:ilvl w:val="0"/>
          <w:numId w:val="1004"/>
        </w:numPr>
      </w:pPr>
      <w:r>
        <w:rPr>
          <w:b/>
          <w:bCs/>
        </w:rPr>
        <w:t xml:space="preserve">Judicial police exception</w:t>
      </w:r>
      <w:r>
        <w:t xml:space="preserve">: if a judicial police agency takes over the investigation under the Anti-Fraud Crime Prevention Act or the Code of Criminal Procedure, then the 20-day limit does not apply.</w:t>
      </w:r>
    </w:p>
    <w:p>
      <w:pPr>
        <w:pStyle w:val="BlockText"/>
      </w:pPr>
      <w:r>
        <w:t xml:space="preserve">At the review session in 2026, I said:</w:t>
      </w:r>
    </w:p>
    <w:p>
      <w:pPr>
        <w:pStyle w:val="BlockText"/>
      </w:pPr>
      <w:r>
        <w:t xml:space="preserve">"For many people today, being unable to use one's account does not just mean inconvenience in transactions. It means rent cannot be paid, living expenses cannot be withdrawn, and even medical bills and daily costs are affected … If a VASP imposes restrictive measures based on its own judgment and has not been told by judicial police or the competent authority to continue control measures, then such restrictions should have a time cap and cannot continue indefinitely."</w:t>
      </w:r>
    </w:p>
    <w:p>
      <w:pPr>
        <w:pStyle w:val="BlockText"/>
      </w:pPr>
      <w:r>
        <w:t xml:space="preserve">"Fighting fraud is obviously important. But the ordinary lives of innocent citizens matter just as much."</w:t>
      </w:r>
    </w:p>
    <w:p>
      <w:pPr>
        <w:pStyle w:val="BlockText"/>
      </w:pPr>
      <w:r>
        <w:rPr>
          <w:i/>
          <w:iCs/>
        </w:rPr>
        <w:t xml:space="preserve">— from the Chinese original.</w:t>
      </w:r>
    </w:p>
    <w:bookmarkEnd w:id="30"/>
    <w:bookmarkStart w:id="32" w:name="the-exchange-and-result"/>
    <w:p>
      <w:pPr>
        <w:pStyle w:val="Heading4"/>
      </w:pPr>
      <w:r>
        <w:t xml:space="preserve">The exchange and result</w:t>
      </w:r>
    </w:p>
    <w:p>
      <w:pPr>
        <w:pStyle w:val="FirstParagraph"/>
      </w:pPr>
      <w:r>
        <w:t xml:space="preserve">The FSC's response was: the technical details of this clause should be left to secondary legislation, including standards for identifying anomalies and procedures for suspension.</w:t>
      </w:r>
    </w:p>
    <w:p>
      <w:pPr>
        <w:pStyle w:val="BodyText"/>
      </w:pPr>
      <w:r>
        <w:t xml:space="preserve">I gave way. The reason was that on June 3, I had already fought a big battle for Article 25 (approval → filing for record), and if the core of this clause were pushed all the way to the wall at the text level, I would risk dragging the entire review past the time available for the other clauses.</w:t>
      </w:r>
    </w:p>
    <w:p>
      <w:pPr>
        <w:pStyle w:val="BodyText"/>
      </w:pPr>
      <w:r>
        <w:t xml:space="preserve">But I had pre-prepared a</w:t>
      </w:r>
      <w:r>
        <w:t xml:space="preserve"> </w:t>
      </w:r>
      <w:hyperlink r:id="rId31">
        <w:r>
          <w:rPr>
            <w:rStyle w:val="Hyperlink"/>
          </w:rPr>
          <w:t xml:space="preserve">supplementary resolution</w:t>
        </w:r>
      </w:hyperlink>
      <w:r>
        <w:t xml:space="preserve"> </w:t>
      </w:r>
      <w:r>
        <w:t xml:space="preserve">(No. 14, attachment page-15):</w:t>
      </w:r>
    </w:p>
    <w:p>
      <w:pPr>
        <w:pStyle w:val="BlockText"/>
      </w:pPr>
      <w:r>
        <w:t xml:space="preserve">"The Financial Supervisory Commission shall, within one year of the entry into force of this Act, complete a draft set of regulations governing the imposition of trading restrictions by virtual asset service providers on their customers, and shall publicly consult on the draft, so as to establish a clear, transparent, and due-process-compliant supervisory mechanism that safeguards citizens' property rights and the interests of transactors."</w:t>
      </w:r>
    </w:p>
    <w:p>
      <w:pPr>
        <w:pStyle w:val="FirstParagraph"/>
      </w:pPr>
      <w:r>
        <w:t xml:space="preserve">The passed text of Article 20 is almost word-for-word the cabinet version.</w:t>
      </w:r>
      <w:r>
        <w:t xml:space="preserve"> </w:t>
      </w:r>
      <w:r>
        <w:rPr>
          <w:b/>
          <w:bCs/>
        </w:rPr>
        <w:t xml:space="preserve">There is no 20-day limit.</w:t>
      </w:r>
    </w:p>
    <w:bookmarkEnd w:id="32"/>
    <w:bookmarkStart w:id="33" w:name="my-reflection"/>
    <w:p>
      <w:pPr>
        <w:pStyle w:val="Heading4"/>
      </w:pPr>
      <w:r>
        <w:t xml:space="preserve">My reflection</w:t>
      </w:r>
    </w:p>
    <w:p>
      <w:pPr>
        <w:pStyle w:val="FirstParagraph"/>
      </w:pPr>
      <w:r>
        <w:t xml:space="preserve">🔴 I lost this clause-level battle.</w:t>
      </w:r>
      <w:r>
        <w:t xml:space="preserve"> </w:t>
      </w:r>
      <w:r>
        <w:t xml:space="preserve">💬 But I got the supplementary resolution: draft regulations within one year, public consultation, with clear procedures and remedies.</w:t>
      </w:r>
    </w:p>
    <w:p>
      <w:pPr>
        <w:pStyle w:val="BodyText"/>
      </w:pPr>
      <w:r>
        <w:t xml:space="preserve">I think this clause will be an important battleground in the secondary legislation phase. My duty here is not done. When the FSC produces its draft on customer trading restrictions, I will make sure that:</w:t>
      </w:r>
    </w:p>
    <w:p>
      <w:pPr>
        <w:pStyle w:val="Compact"/>
        <w:numPr>
          <w:ilvl w:val="0"/>
          <w:numId w:val="1005"/>
        </w:numPr>
      </w:pPr>
      <w:r>
        <w:t xml:space="preserve">The duration is clear (I recommend twenty days or shorter);</w:t>
      </w:r>
    </w:p>
    <w:p>
      <w:pPr>
        <w:pStyle w:val="Compact"/>
        <w:numPr>
          <w:ilvl w:val="0"/>
          <w:numId w:val="1005"/>
        </w:numPr>
      </w:pPr>
      <w:r>
        <w:t xml:space="preserve">Notification is required (the operator must tell the customer why restrictions were imposed);</w:t>
      </w:r>
    </w:p>
    <w:p>
      <w:pPr>
        <w:pStyle w:val="Compact"/>
        <w:numPr>
          <w:ilvl w:val="0"/>
          <w:numId w:val="1005"/>
        </w:numPr>
      </w:pPr>
      <w:r>
        <w:t xml:space="preserve">There is an appeal channel (the customer can complain and the operator must respond);</w:t>
      </w:r>
    </w:p>
    <w:p>
      <w:pPr>
        <w:pStyle w:val="Compact"/>
        <w:numPr>
          <w:ilvl w:val="0"/>
          <w:numId w:val="1005"/>
        </w:numPr>
      </w:pPr>
      <w:r>
        <w:t xml:space="preserve">Records are kept (restrictive actions must be traceable);</w:t>
      </w:r>
    </w:p>
    <w:p>
      <w:pPr>
        <w:pStyle w:val="Compact"/>
        <w:numPr>
          <w:ilvl w:val="0"/>
          <w:numId w:val="1005"/>
        </w:numPr>
      </w:pPr>
      <w:r>
        <w:t xml:space="preserve">Judicial remedy is available (disputes can escalate to administrative remedies or the courts).</w:t>
      </w:r>
    </w:p>
    <w:p>
      <w:pPr>
        <w:pStyle w:val="FirstParagraph"/>
      </w:pPr>
      <w:r>
        <w:t xml:space="preserve">If these five things are not written into the secondary legislation, I will propose another amendment to write them back into the parent statute.</w:t>
      </w:r>
    </w:p>
    <w:p>
      <w:pPr>
        <w:pStyle w:val="BodyText"/>
      </w:pPr>
      <w:r>
        <w:t xml:space="preserve">That is my promise to my future self about this clause.</w:t>
      </w:r>
    </w:p>
    <w:p>
      <w:r>
        <w:pict>
          <v:rect style="width:0;height:1.5pt" o:hralign="center" o:hrstd="t" o:hr="t"/>
        </w:pict>
      </w:r>
    </w:p>
    <w:bookmarkEnd w:id="33"/>
    <w:bookmarkEnd w:id="34"/>
    <w:bookmarkStart w:id="39" w:name="X2a3cd594d2a5eaecdcb523e6f0f25605721bbe4"/>
    <w:p>
      <w:pPr>
        <w:pStyle w:val="Heading3"/>
      </w:pPr>
      <w:r>
        <w:t xml:space="preserve">Battle Three: Article 47 — Returning Virtual Assets to Victims in Kind</w:t>
      </w:r>
    </w:p>
    <w:p>
      <w:pPr>
        <w:pStyle w:val="FirstParagraph"/>
      </w:pPr>
      <w:r>
        <w:t xml:space="preserve">Article 47 was the fight I fought for victims. Tactically, "I lost on the clause but won on the legislative explanation plus the supplementary resolution." But on substance, I think</w:t>
      </w:r>
      <w:r>
        <w:t xml:space="preserve"> </w:t>
      </w:r>
      <w:r>
        <w:rPr>
          <w:b/>
          <w:bCs/>
        </w:rPr>
        <w:t xml:space="preserve">we already secured real protection for victims</w:t>
      </w:r>
      <w:r>
        <w:t xml:space="preserve">.</w:t>
      </w:r>
    </w:p>
    <w:bookmarkStart w:id="35" w:name="the-core-problem"/>
    <w:p>
      <w:pPr>
        <w:pStyle w:val="Heading4"/>
      </w:pPr>
      <w:r>
        <w:t xml:space="preserve">The core problem</w:t>
      </w:r>
    </w:p>
    <w:p>
      <w:pPr>
        <w:pStyle w:val="FirstParagraph"/>
      </w:pPr>
      <w:r>
        <w:t xml:space="preserve">When virtual asset fraud occurs and law enforcement seizes criminal proceeds, the common practice is to</w:t>
      </w:r>
      <w:r>
        <w:t xml:space="preserve"> </w:t>
      </w:r>
      <w:r>
        <w:rPr>
          <w:b/>
          <w:bCs/>
        </w:rPr>
        <w:t xml:space="preserve">first sell the assets into New Taiwan Dollars, and then return New Taiwan Dollars to the victim once the judgment becomes final.</w:t>
      </w:r>
    </w:p>
    <w:p>
      <w:pPr>
        <w:pStyle w:val="BodyText"/>
      </w:pPr>
      <w:r>
        <w:t xml:space="preserve">Sounds reasonable. But the problem is:</w:t>
      </w:r>
    </w:p>
    <w:p>
      <w:pPr>
        <w:pStyle w:val="Compact"/>
        <w:numPr>
          <w:ilvl w:val="0"/>
          <w:numId w:val="1006"/>
        </w:numPr>
      </w:pPr>
      <w:r>
        <w:t xml:space="preserve">The victim</w:t>
      </w:r>
      <w:r>
        <w:t xml:space="preserve"> </w:t>
      </w:r>
      <w:r>
        <w:rPr>
          <w:b/>
          <w:bCs/>
        </w:rPr>
        <w:t xml:space="preserve">originally lost a virtual asset</w:t>
      </w:r>
      <w:r>
        <w:t xml:space="preserve"> </w:t>
      </w:r>
      <w:r>
        <w:t xml:space="preserve">(say, 10 BTC);</w:t>
      </w:r>
    </w:p>
    <w:p>
      <w:pPr>
        <w:pStyle w:val="Compact"/>
        <w:numPr>
          <w:ilvl w:val="0"/>
          <w:numId w:val="1006"/>
        </w:numPr>
      </w:pPr>
      <w:r>
        <w:t xml:space="preserve">What was seized was also</w:t>
      </w:r>
      <w:r>
        <w:t xml:space="preserve"> </w:t>
      </w:r>
      <w:r>
        <w:rPr>
          <w:b/>
          <w:bCs/>
        </w:rPr>
        <w:t xml:space="preserve">a virtual asset</w:t>
      </w:r>
      <w:r>
        <w:t xml:space="preserve"> </w:t>
      </w:r>
      <w:r>
        <w:t xml:space="preserve">(say, the same 10 BTC);</w:t>
      </w:r>
    </w:p>
    <w:p>
      <w:pPr>
        <w:pStyle w:val="Compact"/>
        <w:numPr>
          <w:ilvl w:val="0"/>
          <w:numId w:val="1006"/>
        </w:numPr>
      </w:pPr>
      <w:r>
        <w:t xml:space="preserve">The case takes one to three years to adjudicate, and during that time the price of BTC may have tripled or quintupled;</w:t>
      </w:r>
    </w:p>
    <w:p>
      <w:pPr>
        <w:pStyle w:val="Compact"/>
        <w:numPr>
          <w:ilvl w:val="0"/>
          <w:numId w:val="1006"/>
        </w:numPr>
      </w:pPr>
      <w:r>
        <w:t xml:space="preserve">But</w:t>
      </w:r>
      <w:r>
        <w:t xml:space="preserve"> </w:t>
      </w:r>
      <w:r>
        <w:rPr>
          <w:b/>
          <w:bCs/>
        </w:rPr>
        <w:t xml:space="preserve">the prosecutor sold it for fiat back at the investigation stage</w:t>
      </w:r>
      <w:r>
        <w:t xml:space="preserve">, locking in the price as of that earlier moment;</w:t>
      </w:r>
    </w:p>
    <w:p>
      <w:pPr>
        <w:pStyle w:val="Compact"/>
        <w:numPr>
          <w:ilvl w:val="0"/>
          <w:numId w:val="1006"/>
        </w:numPr>
      </w:pPr>
      <w:r>
        <w:t xml:space="preserve">After judgment, the victim is paid back in the fiat amount from that earlier moment.</w:t>
      </w:r>
    </w:p>
    <w:p>
      <w:pPr>
        <w:pStyle w:val="Compact"/>
        <w:numPr>
          <w:ilvl w:val="0"/>
          <w:numId w:val="1006"/>
        </w:numPr>
      </w:pPr>
      <w:r>
        <w:t xml:space="preserve">Result:</w:t>
      </w:r>
      <w:r>
        <w:t xml:space="preserve"> </w:t>
      </w:r>
      <w:r>
        <w:rPr>
          <w:b/>
          <w:bCs/>
        </w:rPr>
        <w:t xml:space="preserve">on paper, the victim has been "made whole" — but in reality they have lost three to five times their value.</w:t>
      </w:r>
    </w:p>
    <w:p>
      <w:pPr>
        <w:pStyle w:val="FirstParagraph"/>
      </w:pPr>
      <w:r>
        <w:t xml:space="preserve">This is not a new issue internationally:</w:t>
      </w:r>
    </w:p>
    <w:p>
      <w:pPr>
        <w:pStyle w:val="Compact"/>
        <w:numPr>
          <w:ilvl w:val="0"/>
          <w:numId w:val="1007"/>
        </w:numPr>
      </w:pPr>
      <w:r>
        <w:rPr>
          <w:b/>
          <w:bCs/>
        </w:rPr>
        <w:t xml:space="preserve">Silk Road (United States)</w:t>
      </w:r>
      <w:r>
        <w:t xml:space="preserve">: Between 2014 and 2015, the federal government auctioned off large quantities of seized BTC (publicly reported cumulative auction volumes exceeded one hundred thousand coins), at prices generally in the range of a few hundred USD per coin. Over a decade later, BTC's value has grown substantially, and the case has become a touchstone in ongoing debates over enforcement timing and prosecutors' implicit price-guarantee.</w:t>
      </w:r>
    </w:p>
    <w:p>
      <w:pPr>
        <w:pStyle w:val="Compact"/>
        <w:numPr>
          <w:ilvl w:val="0"/>
          <w:numId w:val="1007"/>
        </w:numPr>
      </w:pPr>
      <w:r>
        <w:rPr>
          <w:b/>
          <w:bCs/>
        </w:rPr>
        <w:t xml:space="preserve">Bitcoin Queen (United Kingdom)</w:t>
      </w:r>
      <w:r>
        <w:t xml:space="preserve">: Beginning in 2018, law-enforcement progressively seized large amounts of bitcoin connected to the case, reportedly tens of thousands of coins; the timing and pricing of later disposals have likewise drawn discussion among victims and observers.</w:t>
      </w:r>
    </w:p>
    <w:p>
      <w:pPr>
        <w:pStyle w:val="FirstParagraph"/>
      </w:pPr>
      <w:r>
        <w:t xml:space="preserve">These cases later prompted reflection by enforcement agencies abroad:</w:t>
      </w:r>
      <w:r>
        <w:t xml:space="preserve"> </w:t>
      </w:r>
      <w:r>
        <w:rPr>
          <w:b/>
          <w:bCs/>
        </w:rPr>
        <w:t xml:space="preserve">should prosecutors really be guaranteeing market prices?</w:t>
      </w:r>
    </w:p>
    <w:bookmarkEnd w:id="35"/>
    <w:bookmarkStart w:id="36" w:name="my-proposal"/>
    <w:p>
      <w:pPr>
        <w:pStyle w:val="Heading4"/>
      </w:pPr>
      <w:r>
        <w:t xml:space="preserve">My proposal</w:t>
      </w:r>
    </w:p>
    <w:p>
      <w:pPr>
        <w:pStyle w:val="FirstParagraph"/>
      </w:pPr>
      <w:r>
        <w:t xml:space="preserve">I proposed adding a new Paragraph 6 to Article 47:</w:t>
      </w:r>
    </w:p>
    <w:p>
      <w:pPr>
        <w:pStyle w:val="BlockText"/>
      </w:pPr>
      <w:r>
        <w:t xml:space="preserve">"Where criminal proceeds that are to be returned or confiscated are in the form of virtual assets, they shall be</w:t>
      </w:r>
      <w:r>
        <w:t xml:space="preserve"> </w:t>
      </w:r>
      <w:r>
        <w:rPr>
          <w:b/>
          <w:bCs/>
        </w:rPr>
        <w:t xml:space="preserve">paid in virtual assets</w:t>
      </w:r>
      <w:r>
        <w:t xml:space="preserve">."</w:t>
      </w:r>
    </w:p>
    <w:p>
      <w:pPr>
        <w:pStyle w:val="FirstParagraph"/>
      </w:pPr>
      <w:r>
        <w:t xml:space="preserve">And I prepared a complete debate strategy, because I knew that both the FSC and the Ministry of Justice would push back.</w:t>
      </w:r>
    </w:p>
    <w:bookmarkEnd w:id="36"/>
    <w:bookmarkStart w:id="37" w:name="X7d23c059ea3a4fefb5352dc30da9baaa796846a"/>
    <w:p>
      <w:pPr>
        <w:pStyle w:val="Heading4"/>
      </w:pPr>
      <w:r>
        <w:t xml:space="preserve">Likely objections from the Ministry of Justice (and my responses)</w:t>
      </w:r>
    </w:p>
    <w:p>
      <w:pPr>
        <w:pStyle w:val="FirstParagraph"/>
      </w:pPr>
      <w:r>
        <w:rPr>
          <w:b/>
          <w:bCs/>
        </w:rPr>
        <w:t xml:space="preserve">MOJ Question 1: "</w:t>
      </w:r>
      <w:r>
        <w:rPr>
          <w:b/>
          <w:bCs/>
          <w:i/>
          <w:iCs/>
        </w:rPr>
        <w:t xml:space="preserve">Paid in</w:t>
      </w:r>
      <w:r>
        <w:rPr>
          <w:b/>
          <w:bCs/>
        </w:rPr>
        <w:t xml:space="preserve"> </w:t>
      </w:r>
      <w:r>
        <w:rPr>
          <w:rFonts w:hint="eastAsia"/>
          <w:b/>
          <w:bCs/>
        </w:rPr>
        <w:t xml:space="preserve">(抵充)</w:t>
      </w:r>
      <w:r>
        <w:rPr>
          <w:b/>
          <w:bCs/>
        </w:rPr>
        <w:t xml:space="preserve"> is a term from civil law and public law, not criminal law."</w:t>
      </w:r>
    </w:p>
    <w:p>
      <w:pPr>
        <w:pStyle w:val="BodyText"/>
      </w:pPr>
      <w:r>
        <w:t xml:space="preserve">My answer:</w:t>
      </w:r>
    </w:p>
    <w:p>
      <w:pPr>
        <w:pStyle w:val="BlockText"/>
      </w:pPr>
      <w:r>
        <w:t xml:space="preserve">"My use of the word 'paid in' </w:t>
      </w:r>
      <w:r>
        <w:rPr>
          <w:rFonts w:hint="eastAsia"/>
        </w:rPr>
        <w:t xml:space="preserve">(抵充)</w:t>
      </w:r>
      <w:r>
        <w:t xml:space="preserve"> is intended to convey that, where the loss originally suffered by the victim was in virtual asset form, the post-judgment return should be in the form of the same type and same value of virtual asset. It does not require returning '</w:t>
      </w:r>
      <w:r>
        <w:rPr>
          <w:i/>
          <w:iCs/>
        </w:rPr>
        <w:t xml:space="preserve">those specific coins</w:t>
      </w:r>
      <w:r>
        <w:t xml:space="preserve">' that were originally lost."</w:t>
      </w:r>
    </w:p>
    <w:p>
      <w:pPr>
        <w:pStyle w:val="BlockText"/>
      </w:pPr>
      <w:r>
        <w:rPr>
          <w:i/>
          <w:iCs/>
        </w:rPr>
        <w:t xml:space="preserve">— from the Chinese original.</w:t>
      </w:r>
    </w:p>
    <w:p>
      <w:pPr>
        <w:pStyle w:val="FirstParagraph"/>
      </w:pPr>
      <w:r>
        <w:t xml:space="preserve">For example: your 10 BTC were stolen, and the police seized 10 BTC from the defendant's wallet (not necessarily "the same batch"). Then "</w:t>
      </w:r>
      <w:r>
        <w:rPr>
          <w:b/>
          <w:bCs/>
        </w:rPr>
        <w:t xml:space="preserve">an equivalent amount of bitcoin</w:t>
      </w:r>
      <w:r>
        <w:t xml:space="preserve">" is paid in — this terminology is more precise than "return," because Bitcoin is not a non-fungible asset (NFTs aside).</w:t>
      </w:r>
    </w:p>
    <w:p>
      <w:pPr>
        <w:pStyle w:val="BodyText"/>
      </w:pPr>
      <w:r>
        <w:rPr>
          <w:b/>
          <w:bCs/>
        </w:rPr>
        <w:t xml:space="preserve">MOJ Question 2: "The current regime (including the Code of Criminal Procedure) already allows prosecutors to liquidate when the value of seized property is declining."</w:t>
      </w:r>
    </w:p>
    <w:p>
      <w:pPr>
        <w:pStyle w:val="BodyText"/>
      </w:pPr>
      <w:r>
        <w:t xml:space="preserve">I shot back:</w:t>
      </w:r>
    </w:p>
    <w:p>
      <w:pPr>
        <w:pStyle w:val="BlockText"/>
      </w:pPr>
      <w:r>
        <w:t xml:space="preserve">"If what was seized today is a Nokia 3310, three years from now, when it is returned to the victim, will the victim get an iPhone instead? Or will the prosecutor along the way say, 'Because the Nokia 3310 is getting less and less valuable, I sold it for you in the meantime, and I'll give you the money later'? I think the answer in both cases would be no."</w:t>
      </w:r>
    </w:p>
    <w:p>
      <w:pPr>
        <w:pStyle w:val="BlockText"/>
      </w:pPr>
      <w:r>
        <w:t xml:space="preserve">"Going further: if New Taiwan Dollars are inflating and depreciating today, will the Ministry of Justice proactively convert the victim's NTD into USD or gold or some other store of value? If not, then why is it that, when what the victim was defrauded out of is 10 BTC, the State has to make the decision on the victim's behalf to convert it into NTD?"</w:t>
      </w:r>
    </w:p>
    <w:p>
      <w:pPr>
        <w:pStyle w:val="BlockText"/>
      </w:pPr>
      <w:r>
        <w:rPr>
          <w:i/>
          <w:iCs/>
        </w:rPr>
        <w:t xml:space="preserve">— from the Chinese original.</w:t>
      </w:r>
    </w:p>
    <w:p>
      <w:pPr>
        <w:pStyle w:val="FirstParagraph"/>
      </w:pPr>
      <w:r>
        <w:t xml:space="preserve">This is the rebuttal I am proudest of. The Nokia 3310 metaphor</w:t>
      </w:r>
      <w:r>
        <w:t xml:space="preserve"> </w:t>
      </w:r>
      <w:r>
        <w:rPr>
          <w:i/>
          <w:iCs/>
        </w:rPr>
        <w:t xml:space="preserve">worked</w:t>
      </w:r>
      <w:r>
        <w:t xml:space="preserve"> </w:t>
      </w:r>
      <w:r>
        <w:t xml:space="preserve">in the room — it turned "the principle of returning property in its original form" from legal jargon into a concrete scenario every single person could feel.</w:t>
      </w:r>
    </w:p>
    <w:p>
      <w:pPr>
        <w:pStyle w:val="BodyText"/>
      </w:pPr>
      <w:r>
        <w:rPr>
          <w:b/>
          <w:bCs/>
        </w:rPr>
        <w:t xml:space="preserve">MOJ Question 3: "What if the defendant swapped Token A for Token B?"</w:t>
      </w:r>
    </w:p>
    <w:p>
      <w:pPr>
        <w:pStyle w:val="BlockText"/>
      </w:pPr>
      <w:r>
        <w:t xml:space="preserve">"If the original property no longer exists, then there is no question of returning it in its original form, and that is not the situation this clause is meant to govern."</w:t>
      </w:r>
    </w:p>
    <w:p>
      <w:pPr>
        <w:pStyle w:val="FirstParagraph"/>
      </w:pPr>
      <w:r>
        <w:rPr>
          <w:b/>
          <w:bCs/>
        </w:rPr>
        <w:t xml:space="preserve">MOJ Question 4: "What if the victim does not have a virtual asset account?"</w:t>
      </w:r>
    </w:p>
    <w:p>
      <w:pPr>
        <w:pStyle w:val="BlockText"/>
      </w:pPr>
      <w:r>
        <w:t xml:space="preserve">"What I am addressing is the situation where the loss originally suffered by the victim was in virtual asset form. If the victim's original loss was not in virtual asset form, then it simply does not fall within this clause."</w:t>
      </w:r>
    </w:p>
    <w:p>
      <w:pPr>
        <w:pStyle w:val="FirstParagraph"/>
      </w:pPr>
      <w:r>
        <w:rPr>
          <w:b/>
          <w:bCs/>
        </w:rPr>
        <w:t xml:space="preserve">I also proposed a fallback</w:t>
      </w:r>
      <w:r>
        <w:t xml:space="preserve"> </w:t>
      </w:r>
      <w:r>
        <w:t xml:space="preserve">drawing on the UK's Economic Crime and Corporate Transparency Act 2023 and Section 303Z54 of the Proceeds of Crime Act 2002:</w:t>
      </w:r>
    </w:p>
    <w:p>
      <w:pPr>
        <w:pStyle w:val="BlockText"/>
      </w:pPr>
      <w:r>
        <w:t xml:space="preserve">"Where criminal proceeds that are to be returned or confiscated are in the form of virtual assets, they shall be paid in virtual assets.</w:t>
      </w:r>
      <w:r>
        <w:t xml:space="preserve"> </w:t>
      </w:r>
      <w:r>
        <w:rPr>
          <w:b/>
          <w:bCs/>
        </w:rPr>
        <w:t xml:space="preserve">However, where liquidation is necessary to avoid material loss of value, it may be carried out, after notifying all interested parties and allowing a reasonable period for them to state their views, with the consent of the court.</w:t>
      </w:r>
      <w:r>
        <w:t xml:space="preserve">"</w:t>
      </w:r>
    </w:p>
    <w:p>
      <w:pPr>
        <w:pStyle w:val="FirstParagraph"/>
      </w:pPr>
      <w:r>
        <w:t xml:space="preserve">This is a "principle plus exception" design, consistent with proportionality: the principle respects in-kind return, the exception allows liquidation only with due process.</w:t>
      </w:r>
    </w:p>
    <w:bookmarkEnd w:id="37"/>
    <w:bookmarkStart w:id="38" w:name="result-1"/>
    <w:p>
      <w:pPr>
        <w:pStyle w:val="Heading4"/>
      </w:pPr>
      <w:r>
        <w:t xml:space="preserve">Result</w:t>
      </w:r>
    </w:p>
    <w:p>
      <w:pPr>
        <w:pStyle w:val="FirstParagraph"/>
      </w:pPr>
      <w:r>
        <w:t xml:space="preserve">The passed text of Article 47</w:t>
      </w:r>
      <w:r>
        <w:t xml:space="preserve"> </w:t>
      </w:r>
      <w:r>
        <w:rPr>
          <w:b/>
          <w:bCs/>
        </w:rPr>
        <w:t xml:space="preserve">did not include the new paragraph.</w:t>
      </w:r>
    </w:p>
    <w:p>
      <w:pPr>
        <w:pStyle w:val="BodyText"/>
      </w:pPr>
      <w:r>
        <w:t xml:space="preserve">But two things were preserved:</w:t>
      </w:r>
    </w:p>
    <w:p>
      <w:pPr>
        <w:pStyle w:val="BodyText"/>
      </w:pPr>
      <w:r>
        <w:rPr>
          <w:b/>
          <w:bCs/>
        </w:rPr>
        <w:t xml:space="preserve">First, the legislative explanation expressly states:</w:t>
      </w:r>
    </w:p>
    <w:p>
      <w:pPr>
        <w:pStyle w:val="BlockText"/>
      </w:pPr>
      <w:r>
        <w:t xml:space="preserve">"With respect to criminal proceeds that are to be returned or confiscated and that are in the form of virtual assets, the relevant laws and regulations shall be followed, and</w:t>
      </w:r>
      <w:r>
        <w:t xml:space="preserve"> </w:t>
      </w:r>
      <w:r>
        <w:rPr>
          <w:b/>
          <w:bCs/>
        </w:rPr>
        <w:t xml:space="preserve">as a matter of principle they shall be returned or confiscated in virtual asset form</w:t>
      </w:r>
      <w:r>
        <w:t xml:space="preserve">. This is added here for clarification."</w:t>
      </w:r>
    </w:p>
    <w:p>
      <w:pPr>
        <w:pStyle w:val="FirstParagraph"/>
      </w:pPr>
      <w:r>
        <w:t xml:space="preserve">The legislative explanation carries very high authority in statutory interpretation. Future prosecutors and judges will, when interpreting this clause, have to follow this</w:t>
      </w:r>
      <w:r>
        <w:t xml:space="preserve"> </w:t>
      </w:r>
      <w:r>
        <w:rPr>
          <w:b/>
          <w:bCs/>
        </w:rPr>
        <w:t xml:space="preserve">"in-kind return as the principle"</w:t>
      </w:r>
      <w:r>
        <w:t xml:space="preserve"> </w:t>
      </w:r>
      <w:r>
        <w:t xml:space="preserve">direction.</w:t>
      </w:r>
    </w:p>
    <w:p>
      <w:pPr>
        <w:pStyle w:val="BodyText"/>
      </w:pPr>
      <w:r>
        <w:rPr>
          <w:b/>
          <w:bCs/>
        </w:rPr>
        <w:t xml:space="preserve">Second,</w:t>
      </w:r>
      <w:r>
        <w:rPr>
          <w:b/>
          <w:bCs/>
        </w:rPr>
        <w:t xml:space="preserve"> </w:t>
      </w:r>
      <w:hyperlink r:id="rId31">
        <w:r>
          <w:rPr>
            <w:rStyle w:val="Hyperlink"/>
            <w:b/>
            <w:bCs/>
          </w:rPr>
          <w:t xml:space="preserve">a supplementary resolution</w:t>
        </w:r>
      </w:hyperlink>
      <w:r>
        <w:rPr>
          <w:b/>
          <w:bCs/>
        </w:rPr>
        <w:t xml:space="preserve"> </w:t>
      </w:r>
      <w:r>
        <w:rPr>
          <w:b/>
          <w:bCs/>
        </w:rPr>
        <w:t xml:space="preserve">was passed (No. 13, attachment page-14):</w:t>
      </w:r>
    </w:p>
    <w:p>
      <w:pPr>
        <w:pStyle w:val="BlockText"/>
      </w:pPr>
      <w:r>
        <w:t xml:space="preserve">"The Financial Supervisory Commission, in conjunction with the Ministry of Justice and other relevant agencies, shall conduct a comprehensive review of the seizure, custody, preservation, liquidation, and return regime for virtual assets … and shall study the establishment of a processing mechanism that takes</w:t>
      </w:r>
      <w:r>
        <w:t xml:space="preserve"> </w:t>
      </w:r>
      <w:r>
        <w:rPr>
          <w:b/>
          <w:bCs/>
        </w:rPr>
        <w:t xml:space="preserve">in-kind preservation and in-kind return as the principle</w:t>
      </w:r>
      <w:r>
        <w:t xml:space="preserve">, with clear rules on the requirements, procedures, and supervision applicable to exceptional liquidation, so as to ensure that victims' property rights and recovery interests are fully safeguarded …"</w:t>
      </w:r>
    </w:p>
    <w:p>
      <w:pPr>
        <w:pStyle w:val="BlockText"/>
      </w:pPr>
      <w:r>
        <w:t xml:space="preserve">— Proposers: KO Ju-Chun, Lee Yen-Hsiu</w:t>
      </w:r>
    </w:p>
    <w:p>
      <w:pPr>
        <w:pStyle w:val="FirstParagraph"/>
      </w:pPr>
      <w:r>
        <w:t xml:space="preserve">🟡 We lost on the clause, but 💬 the legislative explanation plus the supplementary resolution preserved the substantive spirit in full.</w:t>
      </w:r>
    </w:p>
    <w:p>
      <w:pPr>
        <w:pStyle w:val="BodyText"/>
      </w:pPr>
      <w:r>
        <w:t xml:space="preserve">I will treat this clause as a</w:t>
      </w:r>
      <w:r>
        <w:t xml:space="preserve"> </w:t>
      </w:r>
      <w:r>
        <w:rPr>
          <w:b/>
          <w:bCs/>
        </w:rPr>
        <w:t xml:space="preserve">"to be continued"</w:t>
      </w:r>
      <w:r>
        <w:t xml:space="preserve"> </w:t>
      </w:r>
      <w:r>
        <w:t xml:space="preserve">commitment, and when the Code of Criminal Procedure or the Anti-Fraud Crime Prevention Act is next amended, I will push for it to be codified.</w:t>
      </w:r>
    </w:p>
    <w:p>
      <w:r>
        <w:pict>
          <v:rect style="width:0;height:1.5pt" o:hralign="center" o:hrstd="t" o:hr="t"/>
        </w:pict>
      </w:r>
    </w:p>
    <w:bookmarkEnd w:id="38"/>
    <w:bookmarkEnd w:id="39"/>
    <w:bookmarkStart w:id="45" w:name="X1420e757539e2ed12d04cde1e2da1f31ad8921e"/>
    <w:p>
      <w:pPr>
        <w:pStyle w:val="Heading3"/>
      </w:pPr>
      <w:r>
        <w:t xml:space="preserve">Battle Four: Articles 7, 8, 35 — "Except as Otherwise Provided by the Competent Authority"</w:t>
      </w:r>
    </w:p>
    <w:p>
      <w:pPr>
        <w:pStyle w:val="FirstParagraph"/>
      </w:pPr>
      <w:r>
        <w:t xml:space="preserve">This is the move from my whole package with the broadest reach but the lowest profile:</w:t>
      </w:r>
      <w:r>
        <w:t xml:space="preserve"> </w:t>
      </w:r>
      <w:r>
        <w:rPr>
          <w:b/>
          <w:bCs/>
        </w:rPr>
        <w:t xml:space="preserve">the regulatory flexibility proviso.</w:t>
      </w:r>
    </w:p>
    <w:bookmarkStart w:id="40" w:name="why-we-need-it"/>
    <w:p>
      <w:pPr>
        <w:pStyle w:val="Heading4"/>
      </w:pPr>
      <w:r>
        <w:t xml:space="preserve">Why we need it</w:t>
      </w:r>
    </w:p>
    <w:p>
      <w:pPr>
        <w:pStyle w:val="FirstParagraph"/>
      </w:pPr>
      <w:r>
        <w:t xml:space="preserve">The opponent in this fight is not the FSC, not the Central Bank, not the Ministry of Justice. It is</w:t>
      </w:r>
      <w:r>
        <w:t xml:space="preserve"> </w:t>
      </w:r>
      <w:r>
        <w:rPr>
          <w:b/>
          <w:bCs/>
        </w:rPr>
        <w:t xml:space="preserve">Taiwan's legal tradition's "one-size-fits-all" gene.</w:t>
      </w:r>
    </w:p>
    <w:p>
      <w:pPr>
        <w:pStyle w:val="BodyText"/>
      </w:pPr>
      <w:r>
        <w:t xml:space="preserve">When you write a mandatory provision like "no person shall conduct business without a license" with no proviso, no flexibility, and no exception, two things happen:</w:t>
      </w:r>
    </w:p>
    <w:p>
      <w:pPr>
        <w:pStyle w:val="BodyText"/>
      </w:pPr>
      <w:r>
        <w:rPr>
          <w:b/>
          <w:bCs/>
        </w:rPr>
        <w:t xml:space="preserve">First, existing large operators instantly become illegal.</w:t>
      </w:r>
      <w:r>
        <w:t xml:space="preserve"> </w:t>
      </w:r>
      <w:r>
        <w:t xml:space="preserve">Taiwan today has many widely-used virtual asset trading platforms that have completed AML registration and have</w:t>
      </w:r>
      <w:r>
        <w:t xml:space="preserve"> </w:t>
      </w:r>
      <w:r>
        <w:rPr>
          <w:b/>
          <w:bCs/>
        </w:rPr>
        <w:t xml:space="preserve">millions</w:t>
      </w:r>
      <w:r>
        <w:t xml:space="preserve"> </w:t>
      </w:r>
      <w:r>
        <w:t xml:space="preserve">of users. Once this Act enters into force while the secondary legislation is not yet in place, these operators will be in a position of "</w:t>
      </w:r>
      <w:r>
        <w:rPr>
          <w:b/>
          <w:bCs/>
        </w:rPr>
        <w:t xml:space="preserve">not yet licensed, but still operating</w:t>
      </w:r>
      <w:r>
        <w:t xml:space="preserve">" — falling into a legal "</w:t>
      </w:r>
      <w:r>
        <w:rPr>
          <w:b/>
          <w:bCs/>
        </w:rPr>
        <w:t xml:space="preserve">illegal / tolerated</w:t>
      </w:r>
      <w:r>
        <w:t xml:space="preserve">" gray zone.</w:t>
      </w:r>
    </w:p>
    <w:p>
      <w:pPr>
        <w:pStyle w:val="BodyText"/>
      </w:pPr>
      <w:r>
        <w:rPr>
          <w:b/>
          <w:bCs/>
        </w:rPr>
        <w:t xml:space="preserve">Second, internationally circulating stablecoins (USDT, USDC) become "illegal upon enactment."</w:t>
      </w:r>
      <w:r>
        <w:t xml:space="preserve"> </w:t>
      </w:r>
      <w:r>
        <w:t xml:space="preserve">USDT is a stablecoin with more than USD 150 billion in global circulation. USDC is approaching USD 60 billion. The Taiwan Stock Exchange has just issued guidance specifically for these two. If Article 35 of this Act has no proviso, then these two stablecoins instantly become "unapproved" illegal stablecoins in Taiwan.</w:t>
      </w:r>
    </w:p>
    <w:p>
      <w:pPr>
        <w:pStyle w:val="BodyText"/>
      </w:pPr>
      <w:r>
        <w:t xml:space="preserve">This is another version of "</w:t>
      </w:r>
      <w:r>
        <w:rPr>
          <w:b/>
          <w:bCs/>
        </w:rPr>
        <w:t xml:space="preserve">the law exists, but users don't show up</w:t>
      </w:r>
      <w:r>
        <w:t xml:space="preserve">" — not because the market cannot catch up with the law, but because</w:t>
      </w:r>
      <w:r>
        <w:t xml:space="preserve"> </w:t>
      </w:r>
      <w:r>
        <w:rPr>
          <w:b/>
          <w:bCs/>
        </w:rPr>
        <w:t xml:space="preserve">the law deliberately pushes the market underground.</w:t>
      </w:r>
    </w:p>
    <w:bookmarkEnd w:id="40"/>
    <w:bookmarkStart w:id="41" w:name="my-design"/>
    <w:p>
      <w:pPr>
        <w:pStyle w:val="Heading4"/>
      </w:pPr>
      <w:r>
        <w:t xml:space="preserve">My design</w:t>
      </w:r>
    </w:p>
    <w:p>
      <w:pPr>
        <w:pStyle w:val="FirstParagraph"/>
      </w:pPr>
      <w:r>
        <w:t xml:space="preserve">Drawing on the proviso in Article 14-4, Paragraph 1 of the Securities and Exchange Act (which gives the FSC discretion over "companies subject to the audit committee requirement"), I added one proviso to each of three articles:</w:t>
      </w:r>
    </w:p>
    <w:p>
      <w:pPr>
        <w:pStyle w:val="BodyText"/>
      </w:pPr>
      <w:r>
        <w:rPr>
          <w:b/>
          <w:bCs/>
        </w:rPr>
        <w:t xml:space="preserve">Article 7:</w:t>
      </w:r>
    </w:p>
    <w:p>
      <w:pPr>
        <w:pStyle w:val="BlockText"/>
      </w:pPr>
      <w:r>
        <w:t xml:space="preserve">"No person may operate any of the virtual asset businesses without obtaining a license and being issued a license certificate,</w:t>
      </w:r>
      <w:r>
        <w:t xml:space="preserve"> </w:t>
      </w:r>
      <w:r>
        <w:rPr>
          <w:b/>
          <w:bCs/>
        </w:rPr>
        <w:t xml:space="preserve">except where the competent authority deems it unnecessary based on the nature of the matter</w:t>
      </w:r>
      <w:r>
        <w:t xml:space="preserve">."</w:t>
      </w:r>
    </w:p>
    <w:p>
      <w:pPr>
        <w:pStyle w:val="FirstParagraph"/>
      </w:pPr>
      <w:r>
        <w:rPr>
          <w:b/>
          <w:bCs/>
        </w:rPr>
        <w:t xml:space="preserve">Article 8:</w:t>
      </w:r>
    </w:p>
    <w:p>
      <w:pPr>
        <w:pStyle w:val="BlockText"/>
      </w:pPr>
      <w:r>
        <w:t xml:space="preserve">"A virtual asset service provider shall operate its business within the scope of business approved by the competent authority,</w:t>
      </w:r>
      <w:r>
        <w:t xml:space="preserve"> </w:t>
      </w:r>
      <w:r>
        <w:rPr>
          <w:b/>
          <w:bCs/>
        </w:rPr>
        <w:t xml:space="preserve">except where the competent authority deems it unnecessary based on the nature of the matter</w:t>
      </w:r>
      <w:r>
        <w:t xml:space="preserve"> </w:t>
      </w:r>
      <w:r>
        <w:t xml:space="preserve">…"</w:t>
      </w:r>
    </w:p>
    <w:p>
      <w:pPr>
        <w:pStyle w:val="FirstParagraph"/>
      </w:pPr>
      <w:r>
        <w:rPr>
          <w:b/>
          <w:bCs/>
        </w:rPr>
        <w:t xml:space="preserve">Article 35:</w:t>
      </w:r>
    </w:p>
    <w:p>
      <w:pPr>
        <w:pStyle w:val="BlockText"/>
      </w:pPr>
      <w:r>
        <w:t xml:space="preserve">"… shall ensure that the relevant stablecoin has been licensed for issuance under Article 34, Paragraph 1, or has been approved by the competent authority for trading, before providing such services,</w:t>
      </w:r>
      <w:r>
        <w:t xml:space="preserve"> </w:t>
      </w:r>
      <w:r>
        <w:rPr>
          <w:b/>
          <w:bCs/>
        </w:rPr>
        <w:t xml:space="preserve">except where it meets the conditions prescribed by the competent authority taking into account its scale, form, and other necessary circumstances</w:t>
      </w:r>
      <w:r>
        <w:t xml:space="preserve"> </w:t>
      </w:r>
      <w:r>
        <w:t xml:space="preserve">…"</w:t>
      </w:r>
    </w:p>
    <w:p>
      <w:pPr>
        <w:pStyle w:val="FirstParagraph"/>
      </w:pPr>
      <w:r>
        <w:t xml:space="preserve">The key design point:</w:t>
      </w:r>
      <w:r>
        <w:t xml:space="preserve"> </w:t>
      </w:r>
      <w:r>
        <w:rPr>
          <w:b/>
          <w:bCs/>
        </w:rPr>
        <w:t xml:space="preserve">the phrase "where the competent authority deems it unnecessary based on the nature of the matter" leaves the discretionary power with the FSC itself</w:t>
      </w:r>
      <w:r>
        <w:t xml:space="preserve"> </w:t>
      </w:r>
      <w:r>
        <w:t xml:space="preserve">— it does not force the FSC to relax. It gives the FSC an exit so it can do fine-grained classification in the secondary legislation.</w:t>
      </w:r>
    </w:p>
    <w:bookmarkEnd w:id="41"/>
    <w:bookmarkStart w:id="42" w:name="on-the-floor"/>
    <w:p>
      <w:pPr>
        <w:pStyle w:val="Heading4"/>
      </w:pPr>
      <w:r>
        <w:t xml:space="preserve">On the floor</w:t>
      </w:r>
    </w:p>
    <w:p>
      <w:pPr>
        <w:pStyle w:val="FirstParagraph"/>
      </w:pPr>
      <w:r>
        <w:t xml:space="preserve">The FSC's standard pushback was: "Other financial laws (securities, futures) do not have provisos written this way."</w:t>
      </w:r>
    </w:p>
    <w:p>
      <w:pPr>
        <w:pStyle w:val="BodyText"/>
      </w:pPr>
      <w:r>
        <w:t xml:space="preserve">My answer had two layers:</w:t>
      </w:r>
    </w:p>
    <w:p>
      <w:pPr>
        <w:pStyle w:val="BlockText"/>
      </w:pPr>
      <w:r>
        <w:t xml:space="preserve">"Neither securities nor futures have ever had the situation that virtual assets have — circulating and being traded for a long time</w:t>
      </w:r>
      <w:r>
        <w:t xml:space="preserve"> </w:t>
      </w:r>
      <w:r>
        <w:rPr>
          <w:i/>
          <w:iCs/>
        </w:rPr>
        <w:t xml:space="preserve">before</w:t>
      </w:r>
      <w:r>
        <w:t xml:space="preserve"> </w:t>
      </w:r>
      <w:r>
        <w:t xml:space="preserve">a statute was written.</w:t>
      </w:r>
      <w:r>
        <w:t xml:space="preserve"> </w:t>
      </w:r>
      <w:r>
        <w:rPr>
          <w:b/>
          <w:bCs/>
        </w:rPr>
        <w:t xml:space="preserve">Virtual assets have their own particularity</w:t>
      </w:r>
      <w:r>
        <w:t xml:space="preserve">, which is why this proviso is needed."</w:t>
      </w:r>
    </w:p>
    <w:p>
      <w:pPr>
        <w:pStyle w:val="BlockText"/>
      </w:pPr>
      <w:r>
        <w:t xml:space="preserve">"Stepping back:</w:t>
      </w:r>
      <w:r>
        <w:t xml:space="preserve"> </w:t>
      </w:r>
      <w:r>
        <w:rPr>
          <w:b/>
          <w:bCs/>
        </w:rPr>
        <w:t xml:space="preserve">the final choice still lies with the competent authority</w:t>
      </w:r>
      <w:r>
        <w:t xml:space="preserve">. If the competent authority assesses that it is not appropriate to use it, it does not have to."</w:t>
      </w:r>
    </w:p>
    <w:p>
      <w:pPr>
        <w:pStyle w:val="FirstParagraph"/>
      </w:pPr>
      <w:r>
        <w:t xml:space="preserve">The second sentence was the key — this proviso does not tie the FSC's hands; on the contrary,</w:t>
      </w:r>
      <w:r>
        <w:t xml:space="preserve"> </w:t>
      </w:r>
      <w:r>
        <w:rPr>
          <w:b/>
          <w:bCs/>
        </w:rPr>
        <w:t xml:space="preserve">it unties the FSC's own hands.</w:t>
      </w:r>
      <w:r>
        <w:t xml:space="preserve"> </w:t>
      </w:r>
      <w:r>
        <w:t xml:space="preserve">The FSC's answer shifted from objection to "we can reconsider."</w:t>
      </w:r>
    </w:p>
    <w:bookmarkEnd w:id="42"/>
    <w:bookmarkStart w:id="43" w:name="result-2"/>
    <w:p>
      <w:pPr>
        <w:pStyle w:val="Heading4"/>
      </w:pPr>
      <w:r>
        <w:t xml:space="preserve">Result</w:t>
      </w:r>
    </w:p>
    <w:p>
      <w:pPr>
        <w:pStyle w:val="FirstParagraph"/>
      </w:pPr>
      <w:r>
        <w:t xml:space="preserve">The passed version of all three articles uses "</w:t>
      </w:r>
      <w:r>
        <w:rPr>
          <w:b/>
          <w:bCs/>
        </w:rPr>
        <w:t xml:space="preserve">except as otherwise provided by the competent authority</w:t>
      </w:r>
      <w:r>
        <w:t xml:space="preserve">":</w:t>
      </w:r>
    </w:p>
    <w:p>
      <w:pPr>
        <w:pStyle w:val="Compact"/>
        <w:numPr>
          <w:ilvl w:val="0"/>
          <w:numId w:val="1008"/>
        </w:numPr>
      </w:pPr>
      <w:r>
        <w:t xml:space="preserve">Article 7: "No person may operate any of the … businesses without … license …,</w:t>
      </w:r>
      <w:r>
        <w:t xml:space="preserve"> </w:t>
      </w:r>
      <w:r>
        <w:rPr>
          <w:b/>
          <w:bCs/>
        </w:rPr>
        <w:t xml:space="preserve">except as otherwise provided by the competent authority</w:t>
      </w:r>
      <w:r>
        <w:t xml:space="preserve">, …"</w:t>
      </w:r>
    </w:p>
    <w:p>
      <w:pPr>
        <w:pStyle w:val="Compact"/>
        <w:numPr>
          <w:ilvl w:val="0"/>
          <w:numId w:val="1008"/>
        </w:numPr>
      </w:pPr>
      <w:r>
        <w:t xml:space="preserve">Article 8: "A virtual asset service provider shall,</w:t>
      </w:r>
      <w:r>
        <w:t xml:space="preserve"> </w:t>
      </w:r>
      <w:r>
        <w:rPr>
          <w:b/>
          <w:bCs/>
        </w:rPr>
        <w:t xml:space="preserve">except as otherwise provided by the competent authority</w:t>
      </w:r>
      <w:r>
        <w:t xml:space="preserve">, operate its business within the scope approved by the competent authority …"</w:t>
      </w:r>
    </w:p>
    <w:p>
      <w:pPr>
        <w:pStyle w:val="Compact"/>
        <w:numPr>
          <w:ilvl w:val="0"/>
          <w:numId w:val="1008"/>
        </w:numPr>
      </w:pPr>
      <w:r>
        <w:t xml:space="preserve">Article 35: "… provides any service under Article 6, Paragraph 1, involving stablecoins, the service provider shall,</w:t>
      </w:r>
      <w:r>
        <w:t xml:space="preserve"> </w:t>
      </w:r>
      <w:r>
        <w:rPr>
          <w:b/>
          <w:bCs/>
        </w:rPr>
        <w:t xml:space="preserve">except as otherwise provided by the competent authority</w:t>
      </w:r>
      <w:r>
        <w:t xml:space="preserve">, ensure that the stablecoin …"</w:t>
      </w:r>
    </w:p>
    <w:p>
      <w:pPr>
        <w:pStyle w:val="FirstParagraph"/>
      </w:pPr>
      <w:r>
        <w:t xml:space="preserve">🟢 All three fully adopted. The wording was slightly polished (from "where the competent authority deems it unnecessary based on the nature" to "except as otherwise provided by the competent authority"), but</w:t>
      </w:r>
      <w:r>
        <w:t xml:space="preserve"> </w:t>
      </w:r>
      <w:r>
        <w:rPr>
          <w:b/>
          <w:bCs/>
        </w:rPr>
        <w:t xml:space="preserve">the legal effect is identical</w:t>
      </w:r>
      <w:r>
        <w:t xml:space="preserve">: the FSC has administrative discretion to grant exceptions based on its professional judgment.</w:t>
      </w:r>
    </w:p>
    <w:bookmarkEnd w:id="43"/>
    <w:bookmarkStart w:id="44" w:name="impact"/>
    <w:p>
      <w:pPr>
        <w:pStyle w:val="Heading4"/>
      </w:pPr>
      <w:r>
        <w:t xml:space="preserve">Impact</w:t>
      </w:r>
    </w:p>
    <w:p>
      <w:pPr>
        <w:pStyle w:val="FirstParagraph"/>
      </w:pPr>
      <w:r>
        <w:t xml:space="preserve">These three provisos are the</w:t>
      </w:r>
      <w:r>
        <w:t xml:space="preserve"> </w:t>
      </w:r>
      <w:r>
        <w:rPr>
          <w:b/>
          <w:bCs/>
        </w:rPr>
        <w:t xml:space="preserve">breathing valves</w:t>
      </w:r>
      <w:r>
        <w:t xml:space="preserve"> </w:t>
      </w:r>
      <w:r>
        <w:t xml:space="preserve">I have reserved for Taiwan's virtual asset industry.</w:t>
      </w:r>
    </w:p>
    <w:p>
      <w:pPr>
        <w:pStyle w:val="BodyText"/>
      </w:pPr>
      <w:r>
        <w:t xml:space="preserve">In future secondary legislation, the FSC can set special recognition conditions for internationally circulating stablecoins such as USDT and USDC; it can set a transitional license mechanism for existing large operators; and it can avoid prematurely killing emerging business types.</w:t>
      </w:r>
    </w:p>
    <w:p>
      <w:pPr>
        <w:pStyle w:val="BodyText"/>
      </w:pPr>
      <w:r>
        <w:rPr>
          <w:b/>
          <w:bCs/>
        </w:rPr>
        <w:t xml:space="preserve">Without these three provisos, the VASP Act could have pushed the market out of Taiwan's borders on day one.</w:t>
      </w:r>
      <w:r>
        <w:t xml:space="preserve"> </w:t>
      </w:r>
      <w:r>
        <w:t xml:space="preserve">With them, the market stays, operators have a way out, and the regulator has tools.</w:t>
      </w:r>
    </w:p>
    <w:p>
      <w:pPr>
        <w:pStyle w:val="BodyText"/>
      </w:pPr>
      <w:r>
        <w:t xml:space="preserve">This is what I consider my most important</w:t>
      </w:r>
      <w:r>
        <w:t xml:space="preserve"> </w:t>
      </w:r>
      <w:r>
        <w:rPr>
          <w:b/>
          <w:bCs/>
        </w:rPr>
        <w:t xml:space="preserve">invisible victory.</w:t>
      </w:r>
    </w:p>
    <w:p>
      <w:r>
        <w:pict>
          <v:rect style="width:0;height:1.5pt" o:hralign="center" o:hrstd="t" o:hr="t"/>
        </w:pict>
      </w:r>
    </w:p>
    <w:bookmarkEnd w:id="44"/>
    <w:bookmarkEnd w:id="45"/>
    <w:bookmarkStart w:id="50" w:name="X4a3046510144373a71629a01b372d5fc14089d3"/>
    <w:p>
      <w:pPr>
        <w:pStyle w:val="Heading3"/>
      </w:pPr>
      <w:r>
        <w:t xml:space="preserve">Battle Five: Article 27 — Liability for Outsourced Custody</w:t>
      </w:r>
    </w:p>
    <w:p>
      <w:pPr>
        <w:pStyle w:val="FirstParagraph"/>
      </w:pPr>
      <w:r>
        <w:t xml:space="preserve">I won this one cleanly. The fight itself was not dramatic, but its significance runs deep.</w:t>
      </w:r>
    </w:p>
    <w:bookmarkStart w:id="46" w:name="the-gap-in-the-executive-yuan-version"/>
    <w:p>
      <w:pPr>
        <w:pStyle w:val="Heading4"/>
      </w:pPr>
      <w:r>
        <w:t xml:space="preserve">The gap in the Executive Yuan version</w:t>
      </w:r>
    </w:p>
    <w:p>
      <w:pPr>
        <w:pStyle w:val="FirstParagraph"/>
      </w:pPr>
      <w:r>
        <w:t xml:space="preserve">The Executive Yuan version of Article 27, Paragraph 2 said only:</w:t>
      </w:r>
    </w:p>
    <w:p>
      <w:pPr>
        <w:pStyle w:val="BlockText"/>
      </w:pPr>
      <w:r>
        <w:t xml:space="preserve">"A virtual asset custodian shall</w:t>
      </w:r>
      <w:r>
        <w:t xml:space="preserve"> </w:t>
      </w:r>
      <w:r>
        <w:rPr>
          <w:b/>
          <w:bCs/>
        </w:rPr>
        <w:t xml:space="preserve">notify customers</w:t>
      </w:r>
      <w:r>
        <w:t xml:space="preserve"> </w:t>
      </w:r>
      <w:r>
        <w:t xml:space="preserve">of the circumstances in which it entrusts the custody of virtual assets to others under the preceding paragraph."</w:t>
      </w:r>
    </w:p>
    <w:p>
      <w:pPr>
        <w:pStyle w:val="FirstParagraph"/>
      </w:pPr>
      <w:r>
        <w:t xml:space="preserve">In other words: a custodian could outsource to another licensed custodian,</w:t>
      </w:r>
      <w:r>
        <w:t xml:space="preserve"> </w:t>
      </w:r>
      <w:r>
        <w:rPr>
          <w:b/>
          <w:bCs/>
        </w:rPr>
        <w:t xml:space="preserve">as long as it tells the customer.</w:t>
      </w:r>
    </w:p>
    <w:p>
      <w:pPr>
        <w:pStyle w:val="BodyText"/>
      </w:pPr>
      <w:r>
        <w:t xml:space="preserve">But what if something goes wrong? Say the outsourced sub-custodian is hacked, absconds, or has its private keys leaked —</w:t>
      </w:r>
      <w:r>
        <w:t xml:space="preserve"> </w:t>
      </w:r>
      <w:r>
        <w:rPr>
          <w:b/>
          <w:bCs/>
        </w:rPr>
        <w:t xml:space="preserve">who pays?</w:t>
      </w:r>
    </w:p>
    <w:p>
      <w:pPr>
        <w:pStyle w:val="BodyText"/>
      </w:pPr>
      <w:r>
        <w:t xml:space="preserve">From the Executive Yuan text, you cannot tell. The customer would get bounced around: "The custodian you contracted with says it's the sub-custodian's responsibility. The sub-custodian says it has already gone bankrupt. Go back to the main custodian. The main custodian says it has already notified you."</w:t>
      </w:r>
    </w:p>
    <w:bookmarkEnd w:id="46"/>
    <w:bookmarkStart w:id="47" w:name="my-proposal-1"/>
    <w:p>
      <w:pPr>
        <w:pStyle w:val="Heading4"/>
      </w:pPr>
      <w:r>
        <w:t xml:space="preserve">My proposal</w:t>
      </w:r>
    </w:p>
    <w:p>
      <w:pPr>
        <w:pStyle w:val="FirstParagraph"/>
      </w:pPr>
      <w:r>
        <w:t xml:space="preserve">I added the following at the end of Paragraph 2:</w:t>
      </w:r>
    </w:p>
    <w:p>
      <w:pPr>
        <w:pStyle w:val="BlockText"/>
      </w:pPr>
      <w:r>
        <w:t xml:space="preserve">"If customers suffer loss,</w:t>
      </w:r>
      <w:r>
        <w:t xml:space="preserve"> </w:t>
      </w:r>
      <w:r>
        <w:rPr>
          <w:b/>
          <w:bCs/>
        </w:rPr>
        <w:t xml:space="preserve">the custodian with whom the customer has contracted, or the financial institution qualified to provide virtual asset custody, shall bear the liability for damages</w:t>
      </w:r>
      <w:r>
        <w:t xml:space="preserve">."</w:t>
      </w:r>
    </w:p>
    <w:p>
      <w:pPr>
        <w:pStyle w:val="BlockText"/>
      </w:pPr>
      <w:r>
        <w:t xml:space="preserve">At the review session in 2026, I said:</w:t>
      </w:r>
    </w:p>
    <w:p>
      <w:pPr>
        <w:pStyle w:val="BlockText"/>
      </w:pPr>
      <w:r>
        <w:t xml:space="preserve">"Today, the question of which operator the citizen contracted with, and to whom they entrusted their assets, must — when things go wrong — be answered under the</w:t>
      </w:r>
      <w:r>
        <w:t xml:space="preserve"> </w:t>
      </w:r>
      <w:r>
        <w:rPr>
          <w:b/>
          <w:bCs/>
        </w:rPr>
        <w:t xml:space="preserve">principle of privity of contract under civil law</w:t>
      </w:r>
      <w:r>
        <w:t xml:space="preserve"> </w:t>
      </w:r>
      <w:r>
        <w:t xml:space="preserve">(Article 199, Paragraph 1 of the Civil Code). The contractual counterparty is the one responsible. Liability cannot be obscured by the presence of outsourcing or sub-delegation."</w:t>
      </w:r>
    </w:p>
    <w:p>
      <w:pPr>
        <w:pStyle w:val="BlockText"/>
      </w:pPr>
      <w:r>
        <w:rPr>
          <w:i/>
          <w:iCs/>
        </w:rPr>
        <w:t xml:space="preserve">— from the Chinese original.</w:t>
      </w:r>
    </w:p>
    <w:p>
      <w:pPr>
        <w:pStyle w:val="FirstParagraph"/>
      </w:pPr>
      <w:r>
        <w:t xml:space="preserve">Article 199, Paragraph 1 of the Civil Code says: "The creditor is entitled, on the basis of the obligation, to demand performance from the debtor." This is an iron rule of civil law — the person you contracted with is your debtor, and they cannot be released by sub-delegating to a third party.</w:t>
      </w:r>
    </w:p>
    <w:p>
      <w:pPr>
        <w:pStyle w:val="BodyText"/>
      </w:pPr>
      <w:r>
        <w:t xml:space="preserve">But in a complex multi-layer outsourcing architecture like virtual asset custody, this civil-law principle has to be written in black and white into</w:t>
      </w:r>
      <w:r>
        <w:t xml:space="preserve"> </w:t>
      </w:r>
      <w:r>
        <w:rPr>
          <w:b/>
          <w:bCs/>
        </w:rPr>
        <w:t xml:space="preserve">the VASP Act</w:t>
      </w:r>
      <w:r>
        <w:t xml:space="preserve">, or first-line consumers will never out-lawyer the operators' legal departments.</w:t>
      </w:r>
    </w:p>
    <w:bookmarkEnd w:id="47"/>
    <w:bookmarkStart w:id="48" w:name="result-3"/>
    <w:p>
      <w:pPr>
        <w:pStyle w:val="Heading4"/>
      </w:pPr>
      <w:r>
        <w:t xml:space="preserve">Result</w:t>
      </w:r>
    </w:p>
    <w:p>
      <w:pPr>
        <w:pStyle w:val="FirstParagraph"/>
      </w:pPr>
      <w:r>
        <w:t xml:space="preserve">The passed version of Article 27, Paragraph 2 reads:</w:t>
      </w:r>
    </w:p>
    <w:p>
      <w:pPr>
        <w:pStyle w:val="BlockText"/>
      </w:pPr>
      <w:r>
        <w:t xml:space="preserve">"Where a virtual asset custodian falls under the circumstances of the preceding paragraph, it shall notify the customer.</w:t>
      </w:r>
      <w:r>
        <w:t xml:space="preserve"> </w:t>
      </w:r>
      <w:r>
        <w:rPr>
          <w:b/>
          <w:bCs/>
        </w:rPr>
        <w:t xml:space="preserve">Where customer interests are harmed due to the intent or negligence of the entrusted institution or its employees, the virtual asset custodian shall remain liable to the customer to the same extent under the law.</w:t>
      </w:r>
      <w:r>
        <w:t xml:space="preserve">"</w:t>
      </w:r>
    </w:p>
    <w:p>
      <w:pPr>
        <w:pStyle w:val="FirstParagraph"/>
      </w:pPr>
      <w:r>
        <w:t xml:space="preserve">🟢</w:t>
      </w:r>
      <w:r>
        <w:t xml:space="preserve"> </w:t>
      </w:r>
      <w:r>
        <w:rPr>
          <w:b/>
          <w:bCs/>
        </w:rPr>
        <w:t xml:space="preserve">Fully adopted.</w:t>
      </w:r>
      <w:r>
        <w:t xml:space="preserve"> </w:t>
      </w:r>
      <w:r>
        <w:t xml:space="preserve">The wording is slightly more polished (specifying "intent or negligence" as the threshold, and "same liability" as the principle), but</w:t>
      </w:r>
      <w:r>
        <w:t xml:space="preserve"> </w:t>
      </w:r>
      <w:r>
        <w:rPr>
          <w:b/>
          <w:bCs/>
        </w:rPr>
        <w:t xml:space="preserve">the spirit is one hundred percent the KO version.</w:t>
      </w:r>
    </w:p>
    <w:bookmarkEnd w:id="48"/>
    <w:bookmarkStart w:id="49" w:name="impact-1"/>
    <w:p>
      <w:pPr>
        <w:pStyle w:val="Heading4"/>
      </w:pPr>
      <w:r>
        <w:t xml:space="preserve">Impact</w:t>
      </w:r>
    </w:p>
    <w:p>
      <w:pPr>
        <w:pStyle w:val="FirstParagraph"/>
      </w:pPr>
      <w:r>
        <w:t xml:space="preserve">This clause will play a critical role in the first</w:t>
      </w:r>
      <w:r>
        <w:t xml:space="preserve"> </w:t>
      </w:r>
      <w:r>
        <w:rPr>
          <w:b/>
          <w:bCs/>
        </w:rPr>
        <w:t xml:space="preserve">virtual asset custodian compensation case.</w:t>
      </w:r>
    </w:p>
    <w:p>
      <w:pPr>
        <w:pStyle w:val="BodyText"/>
      </w:pPr>
      <w:r>
        <w:t xml:space="preserve">If in the future an event resembling the 2022 FTX or Celsius collapse occurs — and Taiwanese consumers happen to be holding indirectly through another compliant custodian — this clause will give consumers a clear target to seek recovery from.</w:t>
      </w:r>
      <w:r>
        <w:t xml:space="preserve"> </w:t>
      </w:r>
      <w:r>
        <w:rPr>
          <w:b/>
          <w:bCs/>
        </w:rPr>
        <w:t xml:space="preserve">They will not be bounced overseas with no path to recover their loss.</w:t>
      </w:r>
    </w:p>
    <w:p>
      <w:pPr>
        <w:pStyle w:val="BodyText"/>
      </w:pPr>
      <w:r>
        <w:t xml:space="preserve">Codifying Article 199 of the Civil Code in the VASP context is the gift I am giving to Taiwan's virtual asset consumers.</w:t>
      </w:r>
    </w:p>
    <w:p>
      <w:r>
        <w:pict>
          <v:rect style="width:0;height:1.5pt" o:hralign="center" o:hrstd="t" o:hr="t"/>
        </w:pict>
      </w:r>
    </w:p>
    <w:bookmarkEnd w:id="49"/>
    <w:bookmarkEnd w:id="50"/>
    <w:bookmarkStart w:id="55" w:name="X3895a340c52abd5a1ab850156412ae8236cc13f"/>
    <w:p>
      <w:pPr>
        <w:pStyle w:val="Heading3"/>
      </w:pPr>
      <w:r>
        <w:t xml:space="preserve">Battle Six: Article 43 — The KO-Version-Exclusive FinTech Innovation Development Fund</w:t>
      </w:r>
    </w:p>
    <w:p>
      <w:pPr>
        <w:pStyle w:val="FirstParagraph"/>
      </w:pPr>
      <w:r>
        <w:t xml:space="preserve">For the last one, I have to be honest:</w:t>
      </w:r>
      <w:r>
        <w:t xml:space="preserve"> </w:t>
      </w:r>
      <w:r>
        <w:rPr>
          <w:b/>
          <w:bCs/>
        </w:rPr>
        <w:t xml:space="preserve">I did not hold this one. It did not make it into the parent statute.</w:t>
      </w:r>
      <w:r>
        <w:t xml:space="preserve"> </w:t>
      </w:r>
      <w:r>
        <w:t xml:space="preserve">But I held the spirit.</w:t>
      </w:r>
    </w:p>
    <w:bookmarkStart w:id="51" w:name="why-i-wanted-this-clause"/>
    <w:p>
      <w:pPr>
        <w:pStyle w:val="Heading4"/>
      </w:pPr>
      <w:r>
        <w:t xml:space="preserve">Why I wanted this clause</w:t>
      </w:r>
    </w:p>
    <w:p>
      <w:pPr>
        <w:pStyle w:val="FirstParagraph"/>
      </w:pPr>
      <w:r>
        <w:t xml:space="preserve">The Executive Yuan version had no such clause at all. Article 43 of the KO version was something I wrote alone:</w:t>
      </w:r>
    </w:p>
    <w:p>
      <w:pPr>
        <w:pStyle w:val="BlockText"/>
      </w:pPr>
      <w:r>
        <w:t xml:space="preserve">"To promote financial technology innovation, the competent authority shall establish a</w:t>
      </w:r>
      <w:r>
        <w:t xml:space="preserve"> </w:t>
      </w:r>
      <w:r>
        <w:rPr>
          <w:b/>
          <w:bCs/>
        </w:rPr>
        <w:t xml:space="preserve">FinTech Innovation Development Fund</w:t>
      </w:r>
      <w:r>
        <w:t xml:space="preserve">.</w:t>
      </w:r>
    </w:p>
    <w:p>
      <w:pPr>
        <w:pStyle w:val="BlockText"/>
      </w:pPr>
      <w:r>
        <w:t xml:space="preserve">Sources of the Fund:</w:t>
      </w:r>
    </w:p>
    <w:p>
      <w:pPr>
        <w:pStyle w:val="Compact"/>
        <w:numPr>
          <w:ilvl w:val="0"/>
          <w:numId w:val="1009"/>
        </w:numPr>
      </w:pPr>
      <w:r>
        <w:t xml:space="preserve">Appropriations from the government through the budget process.</w:t>
      </w:r>
    </w:p>
    <w:p>
      <w:pPr>
        <w:pStyle w:val="Compact"/>
        <w:numPr>
          <w:ilvl w:val="0"/>
          <w:numId w:val="1009"/>
        </w:numPr>
      </w:pPr>
      <w:r>
        <w:t xml:space="preserve">Income from donations.</w:t>
      </w:r>
    </w:p>
    <w:p>
      <w:pPr>
        <w:pStyle w:val="Compact"/>
        <w:numPr>
          <w:ilvl w:val="0"/>
          <w:numId w:val="1009"/>
        </w:numPr>
      </w:pPr>
      <w:r>
        <w:t xml:space="preserve">Interest income on the Fund.</w:t>
      </w:r>
    </w:p>
    <w:p>
      <w:pPr>
        <w:pStyle w:val="Compact"/>
        <w:numPr>
          <w:ilvl w:val="0"/>
          <w:numId w:val="1009"/>
        </w:numPr>
      </w:pPr>
      <w:r>
        <w:t xml:space="preserve">Other income.</w:t>
      </w:r>
    </w:p>
    <w:p>
      <w:pPr>
        <w:pStyle w:val="BlockText"/>
      </w:pPr>
      <w:r>
        <w:t xml:space="preserve">Uses of the Fund:</w:t>
      </w:r>
    </w:p>
    <w:p>
      <w:pPr>
        <w:pStyle w:val="Compact"/>
        <w:numPr>
          <w:ilvl w:val="0"/>
          <w:numId w:val="1010"/>
        </w:numPr>
      </w:pPr>
      <w:r>
        <w:t xml:space="preserve">Enhancing digital financial resilience, subsidizing FinTech research and development, cultivating financial technology talent, and other uses related to the promotion of FinTech innovation.</w:t>
      </w:r>
    </w:p>
    <w:p>
      <w:pPr>
        <w:pStyle w:val="Compact"/>
        <w:numPr>
          <w:ilvl w:val="0"/>
          <w:numId w:val="1010"/>
        </w:numPr>
      </w:pPr>
      <w:r>
        <w:t xml:space="preserve">Subsidizing trade associations to conduct education and outreach.</w:t>
      </w:r>
    </w:p>
    <w:p>
      <w:pPr>
        <w:pStyle w:val="BlockText"/>
      </w:pPr>
      <w:r>
        <w:t xml:space="preserve">Matters concerning the organization, management, and use of the FinTech Innovation Development Fund shall be prescribed by the competent authority."</w:t>
      </w:r>
    </w:p>
    <w:p>
      <w:pPr>
        <w:pStyle w:val="FirstParagraph"/>
      </w:pPr>
      <w:r>
        <w:t xml:space="preserve">Why I think this clause matters:</w:t>
      </w:r>
    </w:p>
    <w:p>
      <w:pPr>
        <w:pStyle w:val="BodyText"/>
      </w:pPr>
      <w:r>
        <w:rPr>
          <w:b/>
          <w:bCs/>
        </w:rPr>
        <w:t xml:space="preserve">First, Taiwan has a serious shortage of FinTech talent.</w:t>
      </w:r>
      <w:r>
        <w:t xml:space="preserve"> </w:t>
      </w:r>
      <w:r>
        <w:t xml:space="preserve">From blockchain engineers, smart contract security auditors, AML compliance analysts, DeFi economic designers, to FinTech legal-compliance specialists — the talent market is very thin. Without a sustainable, institutionalized talent-cultivation fund, Taiwan's FinTech industry will be stuck forever at a</w:t>
      </w:r>
      <w:r>
        <w:t xml:space="preserve"> </w:t>
      </w:r>
      <w:r>
        <w:rPr>
          <w:b/>
          <w:bCs/>
        </w:rPr>
        <w:t xml:space="preserve">"guerilla band"</w:t>
      </w:r>
      <w:r>
        <w:t xml:space="preserve"> </w:t>
      </w:r>
      <w:r>
        <w:t xml:space="preserve">stage.</w:t>
      </w:r>
    </w:p>
    <w:p>
      <w:pPr>
        <w:pStyle w:val="BodyText"/>
      </w:pPr>
      <w:r>
        <w:rPr>
          <w:b/>
          <w:bCs/>
        </w:rPr>
        <w:t xml:space="preserve">Second, building digital financial resilience requires long-term funding.</w:t>
      </w:r>
      <w:r>
        <w:t xml:space="preserve"> </w:t>
      </w:r>
      <w:r>
        <w:t xml:space="preserve">FinTech is not just apps. It is underlying infrastructure — digital identity verification, cross-border payment rails, smart contract audit tools, privacy computation. These are not things any single private company can fund on its own. They need government</w:t>
      </w:r>
      <w:r>
        <w:t xml:space="preserve"> </w:t>
      </w:r>
      <w:r>
        <w:rPr>
          <w:b/>
          <w:bCs/>
        </w:rPr>
        <w:t xml:space="preserve">"lead-horse"</w:t>
      </w:r>
      <w:r>
        <w:t xml:space="preserve"> </w:t>
      </w:r>
      <w:r>
        <w:t xml:space="preserve">capital.</w:t>
      </w:r>
    </w:p>
    <w:p>
      <w:pPr>
        <w:pStyle w:val="BodyText"/>
      </w:pPr>
      <w:r>
        <w:rPr>
          <w:b/>
          <w:bCs/>
        </w:rPr>
        <w:t xml:space="preserve">Third, education and outreach need ongoing funding.</w:t>
      </w:r>
      <w:r>
        <w:t xml:space="preserve"> </w:t>
      </w:r>
      <w:r>
        <w:t xml:space="preserve">The spirit of Article 33's extension of education and outreach to the public will become hollow without funding support.</w:t>
      </w:r>
    </w:p>
    <w:bookmarkEnd w:id="51"/>
    <w:bookmarkStart w:id="52" w:name="why-i-gave-way"/>
    <w:p>
      <w:pPr>
        <w:pStyle w:val="Heading4"/>
      </w:pPr>
      <w:r>
        <w:t xml:space="preserve">Why I gave way</w:t>
      </w:r>
    </w:p>
    <w:p>
      <w:pPr>
        <w:pStyle w:val="FirstParagraph"/>
      </w:pPr>
      <w:r>
        <w:t xml:space="preserve">I admit that establishing a fund has institutional difficulties:</w:t>
      </w:r>
    </w:p>
    <w:p>
      <w:pPr>
        <w:pStyle w:val="Compact"/>
        <w:numPr>
          <w:ilvl w:val="0"/>
          <w:numId w:val="1011"/>
        </w:numPr>
      </w:pPr>
      <w:r>
        <w:rPr>
          <w:b/>
          <w:bCs/>
        </w:rPr>
        <w:t xml:space="preserve">Funding source</w:t>
      </w:r>
      <w:r>
        <w:t xml:space="preserve">: government annual budgeting must go through the Budget Act process, with cross-session and cross-year challenges;</w:t>
      </w:r>
    </w:p>
    <w:p>
      <w:pPr>
        <w:pStyle w:val="Compact"/>
        <w:numPr>
          <w:ilvl w:val="0"/>
          <w:numId w:val="1011"/>
        </w:numPr>
      </w:pPr>
      <w:r>
        <w:rPr>
          <w:b/>
          <w:bCs/>
        </w:rPr>
        <w:t xml:space="preserve">Legal architecture</w:t>
      </w:r>
      <w:r>
        <w:t xml:space="preserve">: a "fund" is a formal legal entity, requiring articles of incorporation, board, accounting, and audit;</w:t>
      </w:r>
    </w:p>
    <w:p>
      <w:pPr>
        <w:pStyle w:val="Compact"/>
        <w:numPr>
          <w:ilvl w:val="0"/>
          <w:numId w:val="1011"/>
        </w:numPr>
      </w:pPr>
      <w:r>
        <w:rPr>
          <w:b/>
          <w:bCs/>
        </w:rPr>
        <w:t xml:space="preserve">Overlap with other funds</w:t>
      </w:r>
      <w:r>
        <w:t xml:space="preserve">: the FSC already has mechanisms under the FinTech Development and Innovation Experimentation Act;</w:t>
      </w:r>
    </w:p>
    <w:p>
      <w:pPr>
        <w:pStyle w:val="Compact"/>
        <w:numPr>
          <w:ilvl w:val="0"/>
          <w:numId w:val="1011"/>
        </w:numPr>
      </w:pPr>
      <w:r>
        <w:rPr>
          <w:b/>
          <w:bCs/>
        </w:rPr>
        <w:t xml:space="preserve">Timing</w:t>
      </w:r>
      <w:r>
        <w:t xml:space="preserve">: pushing for it in this review may force the administrative branch to re-evaluate the accompanying arrangements, dragging out the whole schedule.</w:t>
      </w:r>
    </w:p>
    <w:p>
      <w:pPr>
        <w:pStyle w:val="FirstParagraph"/>
      </w:pPr>
      <w:r>
        <w:t xml:space="preserve">I proactively proposed during the review session:</w:t>
      </w:r>
    </w:p>
    <w:p>
      <w:pPr>
        <w:pStyle w:val="BlockText"/>
      </w:pPr>
      <w:r>
        <w:t xml:space="preserve">At the review session in 2026, I said:</w:t>
      </w:r>
    </w:p>
    <w:p>
      <w:pPr>
        <w:pStyle w:val="BlockText"/>
      </w:pPr>
      <w:r>
        <w:t xml:space="preserve">"I also understand that establishing a fund has certain difficulties on the financial and institutional sides, and pushing it forward in the short term is not easy. So I propose, by way of a</w:t>
      </w:r>
      <w:r>
        <w:t xml:space="preserve"> </w:t>
      </w:r>
      <w:r>
        <w:rPr>
          <w:b/>
          <w:bCs/>
        </w:rPr>
        <w:t xml:space="preserve">supplementary resolution</w:t>
      </w:r>
      <w:r>
        <w:t xml:space="preserve">, that when the FinTech Development and Innovation Experimentation Act is next amended, a 'FinTech Innovation Development Fund' should be added, to promote FinTech innovation, cultivate financial technology talent, and through education and outreach help our citizens better understand digital finance, thereby strengthening our international competitiveness."</w:t>
      </w:r>
    </w:p>
    <w:p>
      <w:pPr>
        <w:pStyle w:val="BlockText"/>
      </w:pPr>
      <w:r>
        <w:t xml:space="preserve">"Talent does not appear out of thin air, and industrial competitiveness does not grow out of thin air. If we hope for Taiwan to have a place in the next generation of financial competition, then talent cultivation and institution-building should start as early as possible."</w:t>
      </w:r>
    </w:p>
    <w:p>
      <w:pPr>
        <w:pStyle w:val="BlockText"/>
      </w:pPr>
      <w:r>
        <w:rPr>
          <w:i/>
          <w:iCs/>
        </w:rPr>
        <w:t xml:space="preserve">— from the Chinese original.</w:t>
      </w:r>
    </w:p>
    <w:bookmarkEnd w:id="52"/>
    <w:bookmarkStart w:id="53" w:name="result-4"/>
    <w:p>
      <w:pPr>
        <w:pStyle w:val="Heading4"/>
      </w:pPr>
      <w:r>
        <w:t xml:space="preserve">Result</w:t>
      </w:r>
    </w:p>
    <w:p>
      <w:pPr>
        <w:pStyle w:val="FirstParagraph"/>
      </w:pPr>
      <w:r>
        <w:t xml:space="preserve">⭐ The clause itself did not get in (a KO-version-exclusive design that cannot be found in the passed version).</w:t>
      </w:r>
      <w:r>
        <w:t xml:space="preserve"> </w:t>
      </w:r>
      <w:r>
        <w:t xml:space="preserve">💬 But the supplementary resolution passed (page-6):</w:t>
      </w:r>
    </w:p>
    <w:p>
      <w:pPr>
        <w:pStyle w:val="BlockText"/>
      </w:pPr>
      <w:r>
        <w:t xml:space="preserve">"The Financial Supervisory Commission shall, when amending the FinTech Development and Innovation Experimentation Act, add the establishment of a FinTech Innovation Development Fund, the uses of which shall be subsidizing FinTech research and development, cultivating financial technology talent, and subsidizing trade associations to conduct education and outreach, so as to promote our country's FinTech innovation, enhance digital financial resilience, and strengthen our international competitiveness."</w:t>
      </w:r>
    </w:p>
    <w:bookmarkEnd w:id="53"/>
    <w:bookmarkStart w:id="54" w:name="my-reflection-1"/>
    <w:p>
      <w:pPr>
        <w:pStyle w:val="Heading4"/>
      </w:pPr>
      <w:r>
        <w:t xml:space="preserve">My reflection</w:t>
      </w:r>
    </w:p>
    <w:p>
      <w:pPr>
        <w:pStyle w:val="FirstParagraph"/>
      </w:pPr>
      <w:r>
        <w:t xml:space="preserve">🔴 I have to write it honestly: I lost the clause.</w:t>
      </w:r>
      <w:r>
        <w:t xml:space="preserve"> </w:t>
      </w:r>
      <w:r>
        <w:t xml:space="preserve">💬 I got the supplementary resolution, but that is only a "political commitment," not "legal compulsion."</w:t>
      </w:r>
    </w:p>
    <w:p>
      <w:pPr>
        <w:pStyle w:val="BodyText"/>
      </w:pPr>
      <w:r>
        <w:t xml:space="preserve">The to-do list I am leaving for my future self:</w:t>
      </w:r>
    </w:p>
    <w:p>
      <w:pPr>
        <w:pStyle w:val="Compact"/>
        <w:numPr>
          <w:ilvl w:val="0"/>
          <w:numId w:val="1012"/>
        </w:numPr>
      </w:pPr>
      <w:r>
        <w:rPr>
          <w:b/>
          <w:bCs/>
        </w:rPr>
        <w:t xml:space="preserve">First half of 2027</w:t>
      </w:r>
      <w:r>
        <w:t xml:space="preserve">: start preparing an amendment version of the FinTech Development and Innovation Experimentation Act, with the Fund clause codified;</w:t>
      </w:r>
    </w:p>
    <w:p>
      <w:pPr>
        <w:pStyle w:val="Compact"/>
        <w:numPr>
          <w:ilvl w:val="0"/>
          <w:numId w:val="1012"/>
        </w:numPr>
      </w:pPr>
      <w:r>
        <w:rPr>
          <w:b/>
          <w:bCs/>
        </w:rPr>
        <w:t xml:space="preserve">At the same time</w:t>
      </w:r>
      <w:r>
        <w:t xml:space="preserve">: build cross-party co-signatures inside the Legislative Yuan, turning this from "my issue" into "a cross-party consensus";</w:t>
      </w:r>
    </w:p>
    <w:p>
      <w:pPr>
        <w:pStyle w:val="Compact"/>
        <w:numPr>
          <w:ilvl w:val="0"/>
          <w:numId w:val="1012"/>
        </w:numPr>
      </w:pPr>
      <w:r>
        <w:rPr>
          <w:b/>
          <w:bCs/>
        </w:rPr>
        <w:t xml:space="preserve">With industry</w:t>
      </w:r>
      <w:r>
        <w:t xml:space="preserve">: work with the virtual asset trade association and FinTech innovation associations to gather data and demonstrate the necessity of the Fund.</w:t>
      </w:r>
    </w:p>
    <w:p>
      <w:pPr>
        <w:pStyle w:val="FirstParagraph"/>
      </w:pPr>
      <w:r>
        <w:t xml:space="preserve">This fight is not over.</w:t>
      </w:r>
    </w:p>
    <w:p>
      <w:r>
        <w:pict>
          <v:rect style="width:0;height:1.5pt" o:hralign="center" o:hrstd="t" o:hr="t"/>
        </w:pict>
      </w:r>
    </w:p>
    <w:bookmarkEnd w:id="54"/>
    <w:bookmarkEnd w:id="55"/>
    <w:bookmarkEnd w:id="56"/>
    <w:bookmarkStart w:id="60" w:name="Xd9db599966a784bd5b0733232eac9193c673960"/>
    <w:p>
      <w:pPr>
        <w:pStyle w:val="Heading2"/>
      </w:pPr>
      <w:r>
        <w:t xml:space="preserve">Chapter Three: The Significance of 15 Supplementary Resolutions</w:t>
      </w:r>
    </w:p>
    <w:p>
      <w:pPr>
        <w:pStyle w:val="FirstParagraph"/>
      </w:pPr>
      <w:r>
        <w:t xml:space="preserve">Many people do not understand what a "supplementary resolution" is. Let me explain it in the simplest words:</w:t>
      </w:r>
    </w:p>
    <w:p>
      <w:pPr>
        <w:pStyle w:val="BodyText"/>
      </w:pPr>
      <w:r>
        <w:rPr>
          <w:b/>
          <w:bCs/>
        </w:rPr>
        <w:t xml:space="preserve">A clause = legal compulsion.</w:t>
      </w:r>
      <w:r>
        <w:t xml:space="preserve"> </w:t>
      </w:r>
      <w:r>
        <w:rPr>
          <w:b/>
          <w:bCs/>
        </w:rPr>
        <w:t xml:space="preserve">A supplementary resolution = political commitment.</w:t>
      </w:r>
    </w:p>
    <w:p>
      <w:pPr>
        <w:pStyle w:val="BodyText"/>
      </w:pPr>
      <w:r>
        <w:t xml:space="preserve">A clause written into the statute must be obeyed, enforced, and used as the basis for sanctions by every future regulator. A supplementary resolution is "</w:t>
      </w:r>
      <w:r>
        <w:rPr>
          <w:b/>
          <w:bCs/>
        </w:rPr>
        <w:t xml:space="preserve">a majority of members on the committee request that the competent authority move in this direction</w:t>
      </w:r>
      <w:r>
        <w:t xml:space="preserve">," but it has no compulsion.</w:t>
      </w:r>
    </w:p>
    <w:p>
      <w:pPr>
        <w:pStyle w:val="BodyText"/>
      </w:pPr>
      <w:r>
        <w:t xml:space="preserve">Sounds like supplementary resolutions are useless?</w:t>
      </w:r>
      <w:r>
        <w:t xml:space="preserve"> </w:t>
      </w:r>
      <w:r>
        <w:rPr>
          <w:b/>
          <w:bCs/>
        </w:rPr>
        <w:t xml:space="preserve">Wrong.</w:t>
      </w:r>
    </w:p>
    <w:p>
      <w:pPr>
        <w:pStyle w:val="BodyText"/>
      </w:pPr>
      <w:r>
        <w:t xml:space="preserve">The real power of a supplementary resolution lies in three things:</w:t>
      </w:r>
    </w:p>
    <w:p>
      <w:pPr>
        <w:pStyle w:val="Compact"/>
        <w:numPr>
          <w:ilvl w:val="0"/>
          <w:numId w:val="1013"/>
        </w:numPr>
      </w:pPr>
      <w:r>
        <w:rPr>
          <w:b/>
          <w:bCs/>
        </w:rPr>
        <w:t xml:space="preserve">It is a public record.</w:t>
      </w:r>
      <w:r>
        <w:t xml:space="preserve"> </w:t>
      </w:r>
      <w:r>
        <w:t xml:space="preserve">In the future, any journalist, scholar, or legislator can pull it out and check whether the competent authority has complied.</w:t>
      </w:r>
    </w:p>
    <w:p>
      <w:pPr>
        <w:pStyle w:val="Compact"/>
        <w:numPr>
          <w:ilvl w:val="0"/>
          <w:numId w:val="1013"/>
        </w:numPr>
      </w:pPr>
      <w:r>
        <w:rPr>
          <w:b/>
          <w:bCs/>
        </w:rPr>
        <w:t xml:space="preserve">It binds secondary legislation.</w:t>
      </w:r>
      <w:r>
        <w:t xml:space="preserve"> </w:t>
      </w:r>
      <w:r>
        <w:t xml:space="preserve">When the competent authority drafts secondary legislation under the parent statute's delegation, the supplementary resolution is the "</w:t>
      </w:r>
      <w:r>
        <w:rPr>
          <w:b/>
          <w:bCs/>
        </w:rPr>
        <w:t xml:space="preserve">unspoken red line</w:t>
      </w:r>
      <w:r>
        <w:t xml:space="preserve">" — if the secondary legislation contradicts the supplementary resolution, it will be raised in the next session.</w:t>
      </w:r>
    </w:p>
    <w:p>
      <w:pPr>
        <w:pStyle w:val="Compact"/>
        <w:numPr>
          <w:ilvl w:val="0"/>
          <w:numId w:val="1013"/>
        </w:numPr>
      </w:pPr>
      <w:r>
        <w:rPr>
          <w:b/>
          <w:bCs/>
        </w:rPr>
        <w:t xml:space="preserve">It is the seed for future amendments.</w:t>
      </w:r>
      <w:r>
        <w:t xml:space="preserve"> </w:t>
      </w:r>
      <w:r>
        <w:t xml:space="preserve">When the law is next amended, the content of the supplementary resolution will become the first-draft basis for the first round of amendments.</w:t>
      </w:r>
    </w:p>
    <w:p>
      <w:pPr>
        <w:pStyle w:val="FirstParagraph"/>
      </w:pPr>
      <w:r>
        <w:t xml:space="preserve">So the 15 supplementary resolutions passed on June 3 are how we preserve</w:t>
      </w:r>
      <w:r>
        <w:t xml:space="preserve"> </w:t>
      </w:r>
      <w:r>
        <w:rPr>
          <w:b/>
          <w:bCs/>
        </w:rPr>
        <w:t xml:space="preserve">"the spirit that did not get into the parent statute"</w:t>
      </w:r>
      <w:r>
        <w:t xml:space="preserve"> </w:t>
      </w:r>
      <w:r>
        <w:t xml:space="preserve">into political memory.</w:t>
      </w:r>
    </w:p>
    <w:bookmarkStart w:id="57" w:name="the-15-supplementary-resolutions-in-full"/>
    <w:p>
      <w:pPr>
        <w:pStyle w:val="Heading3"/>
      </w:pPr>
      <w:r>
        <w:t xml:space="preserve">The 15 supplementary resolutions in full</w:t>
      </w:r>
    </w:p>
    <w:p>
      <w:pPr>
        <w:pStyle w:val="FirstParagraph"/>
      </w:pPr>
      <w:r>
        <w:t xml:space="preserve">Below is my own reconstruction of the</w:t>
      </w:r>
      <w:r>
        <w:t xml:space="preserve"> </w:t>
      </w:r>
      <w:hyperlink r:id="rId31">
        <w:r>
          <w:rPr>
            <w:rStyle w:val="Hyperlink"/>
          </w:rPr>
          <w:t xml:space="preserve">15 supplementary resolutions</w:t>
        </w:r>
      </w:hyperlink>
      <w:r>
        <w:t xml:space="preserve"> </w:t>
      </w:r>
      <w:r>
        <w:t xml:space="preserve">passed on June 3, working from the original handwritten and printed copies. For each item I have done my best to recover the principal subject, the proposer, and the principal co-signers, and to map it back to the KO version.</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w:t>
            </w:r>
          </w:p>
        </w:tc>
        <w:tc>
          <w:tcPr/>
          <w:p>
            <w:pPr>
              <w:pStyle w:val="Compact"/>
            </w:pPr>
            <w:r>
              <w:t xml:space="preserve">Article</w:t>
            </w:r>
          </w:p>
        </w:tc>
        <w:tc>
          <w:tcPr/>
          <w:p>
            <w:pPr>
              <w:pStyle w:val="Compact"/>
            </w:pPr>
            <w:r>
              <w:t xml:space="preserve">Subject</w:t>
            </w:r>
          </w:p>
        </w:tc>
        <w:tc>
          <w:tcPr/>
          <w:p>
            <w:pPr>
              <w:pStyle w:val="Compact"/>
            </w:pPr>
            <w:r>
              <w:t xml:space="preserve">Proposer</w:t>
            </w:r>
          </w:p>
        </w:tc>
        <w:tc>
          <w:tcPr/>
          <w:p>
            <w:pPr>
              <w:pStyle w:val="Compact"/>
            </w:pPr>
            <w:r>
              <w:t xml:space="preserve">Principal co-signers</w:t>
            </w:r>
          </w:p>
        </w:tc>
        <w:tc>
          <w:tcPr/>
          <w:p>
            <w:pPr>
              <w:pStyle w:val="Compact"/>
            </w:pPr>
            <w:r>
              <w:t xml:space="preserve">Relationship to KO version</w:t>
            </w:r>
          </w:p>
        </w:tc>
      </w:tr>
      <w:tr>
        <w:tc>
          <w:tcPr/>
          <w:p>
            <w:pPr>
              <w:pStyle w:val="Compact"/>
            </w:pPr>
            <w:r>
              <w:t xml:space="preserve">1</w:t>
            </w:r>
          </w:p>
        </w:tc>
        <w:tc>
          <w:tcPr/>
          <w:p>
            <w:pPr>
              <w:pStyle w:val="Compact"/>
            </w:pPr>
            <w:r>
              <w:t xml:space="preserve">Art. 6 / general</w:t>
            </w:r>
          </w:p>
        </w:tc>
        <w:tc>
          <w:tcPr/>
          <w:p>
            <w:pPr>
              <w:pStyle w:val="Compact"/>
            </w:pPr>
            <w:r>
              <w:t xml:space="preserve">Open scope of business; avoid narrowing that fails to flatten compliance costs. Within one year of passage, FSC to open derivatives services under Art. 6(1)(7)</w:t>
            </w:r>
          </w:p>
        </w:tc>
        <w:tc>
          <w:tcPr/>
          <w:p>
            <w:pPr>
              <w:pStyle w:val="Compact"/>
            </w:pPr>
            <w:r>
              <w:t xml:space="preserve">Kuo Kuo-Wen</w:t>
            </w:r>
          </w:p>
        </w:tc>
        <w:tc>
          <w:tcPr/>
          <w:p>
            <w:pPr>
              <w:pStyle w:val="Compact"/>
            </w:pPr>
            <w:r>
              <w:t xml:space="preserve">Wu Ping-Jui and others</w:t>
            </w:r>
          </w:p>
        </w:tc>
        <w:tc>
          <w:tcPr/>
          <w:p>
            <w:pPr>
              <w:pStyle w:val="Compact"/>
            </w:pPr>
            <w:r>
              <w:t xml:space="preserve">Co-signed; close to KO Art. 6 spirit</w:t>
            </w:r>
          </w:p>
        </w:tc>
      </w:tr>
      <w:tr>
        <w:tc>
          <w:tcPr/>
          <w:p>
            <w:pPr>
              <w:pStyle w:val="Compact"/>
            </w:pPr>
            <w:r>
              <w:t xml:space="preserve">2</w:t>
            </w:r>
          </w:p>
        </w:tc>
        <w:tc>
          <w:tcPr/>
          <w:p>
            <w:pPr>
              <w:pStyle w:val="Compact"/>
            </w:pPr>
            <w:r>
              <w:t xml:space="preserve">General</w:t>
            </w:r>
          </w:p>
        </w:tc>
        <w:tc>
          <w:tcPr/>
          <w:p>
            <w:pPr>
              <w:pStyle w:val="Compact"/>
            </w:pPr>
            <w:r>
              <w:t xml:space="preserve">Prevent offshore providers that have not landed in Taiwan from eroding the domestic market; strengthen restrictions and blocking measures against unauthorized offshore platforms (incl. ban on bank / e-payment support and app delisting)</w:t>
            </w:r>
          </w:p>
        </w:tc>
        <w:tc>
          <w:tcPr/>
          <w:p>
            <w:pPr>
              <w:pStyle w:val="Compact"/>
            </w:pPr>
            <w:r>
              <w:t xml:space="preserve">Kuo Kuo-Wen</w:t>
            </w:r>
          </w:p>
        </w:tc>
        <w:tc>
          <w:tcPr/>
          <w:p>
            <w:pPr>
              <w:pStyle w:val="Compact"/>
            </w:pPr>
            <w:r>
              <w:t xml:space="preserve">Wu Ping-Jui and others</w:t>
            </w:r>
          </w:p>
        </w:tc>
        <w:tc>
          <w:tcPr/>
          <w:p>
            <w:pPr>
              <w:pStyle w:val="Compact"/>
            </w:pPr>
            <w:r>
              <w:t xml:space="preserve">Co-signed</w:t>
            </w:r>
          </w:p>
        </w:tc>
      </w:tr>
      <w:tr>
        <w:tc>
          <w:tcPr/>
          <w:p>
            <w:pPr>
              <w:pStyle w:val="Compact"/>
            </w:pPr>
            <w:r>
              <w:t xml:space="preserve">3</w:t>
            </w:r>
          </w:p>
        </w:tc>
        <w:tc>
          <w:tcPr/>
          <w:p>
            <w:pPr>
              <w:pStyle w:val="Compact"/>
            </w:pPr>
            <w:r>
              <w:t xml:space="preserve">Art. 7</w:t>
            </w:r>
          </w:p>
        </w:tc>
        <w:tc>
          <w:tcPr/>
          <w:p>
            <w:pPr>
              <w:pStyle w:val="Compact"/>
            </w:pPr>
            <w:r>
              <w:t xml:space="preserve">Offshore providers establishing a branch or subsidiary in Taiwan must comply with AML/CFT/anti-fraud rules; actively guide existing Taiwanese customers into onshore entities (conditional license)</w:t>
            </w:r>
          </w:p>
        </w:tc>
        <w:tc>
          <w:tcPr/>
          <w:p>
            <w:pPr>
              <w:pStyle w:val="Compact"/>
            </w:pPr>
            <w:r>
              <w:t xml:space="preserve">Lee Yen-Hsiu</w:t>
            </w:r>
          </w:p>
        </w:tc>
        <w:tc>
          <w:tcPr/>
          <w:p>
            <w:pPr>
              <w:pStyle w:val="Compact"/>
            </w:pPr>
            <w:r>
              <w:t xml:space="preserve">Lin Szu-Ming, Lai Shyh-Bao</w:t>
            </w:r>
          </w:p>
        </w:tc>
        <w:tc>
          <w:tcPr/>
          <w:p>
            <w:pPr>
              <w:pStyle w:val="Compact"/>
            </w:pPr>
            <w:r>
              <w:t xml:space="preserve">Co-signed</w:t>
            </w:r>
          </w:p>
        </w:tc>
      </w:tr>
      <w:tr>
        <w:tc>
          <w:tcPr/>
          <w:p>
            <w:pPr>
              <w:pStyle w:val="Compact"/>
            </w:pPr>
            <w:r>
              <w:t xml:space="preserve">4</w:t>
            </w:r>
          </w:p>
        </w:tc>
        <w:tc>
          <w:tcPr/>
          <w:p>
            <w:pPr>
              <w:pStyle w:val="Compact"/>
            </w:pPr>
            <w:r>
              <w:t xml:space="preserve">Art. 16</w:t>
            </w:r>
          </w:p>
        </w:tc>
        <w:tc>
          <w:tcPr/>
          <w:p>
            <w:pPr>
              <w:pStyle w:val="Compact"/>
            </w:pPr>
            <w:r>
              <w:t xml:space="preserve">Designate VASPs as financial service providers under the Financial Consumer Protection Act; require thorough KYC; advertising and outreach must not be false, deceptive or concealing</w:t>
            </w:r>
          </w:p>
        </w:tc>
        <w:tc>
          <w:tcPr/>
          <w:p>
            <w:pPr>
              <w:pStyle w:val="Compact"/>
            </w:pPr>
            <w:r>
              <w:t xml:space="preserve">Lee Yen-Hsiu</w:t>
            </w:r>
          </w:p>
        </w:tc>
        <w:tc>
          <w:tcPr/>
          <w:p>
            <w:pPr>
              <w:pStyle w:val="Compact"/>
            </w:pPr>
            <w:r>
              <w:t xml:space="preserve">KO Ju-Chun, Lin Szu-Ming, Lai Shyh-Bao</w:t>
            </w:r>
          </w:p>
        </w:tc>
        <w:tc>
          <w:tcPr/>
          <w:p>
            <w:pPr>
              <w:pStyle w:val="Compact"/>
            </w:pPr>
            <w:r>
              <w:t xml:space="preserve">Co-signed</w:t>
            </w:r>
          </w:p>
        </w:tc>
      </w:tr>
      <w:tr>
        <w:tc>
          <w:tcPr/>
          <w:p>
            <w:pPr>
              <w:pStyle w:val="Compact"/>
            </w:pPr>
            <w:r>
              <w:t xml:space="preserve">5</w:t>
            </w:r>
          </w:p>
        </w:tc>
        <w:tc>
          <w:tcPr/>
          <w:p>
            <w:pPr>
              <w:pStyle w:val="Compact"/>
            </w:pPr>
            <w:r>
              <w:t xml:space="preserve">General</w:t>
            </w:r>
          </w:p>
        </w:tc>
        <w:tc>
          <w:tcPr/>
          <w:p>
            <w:pPr>
              <w:pStyle w:val="Compact"/>
            </w:pPr>
            <w:r>
              <w:t xml:space="preserve">Before secondary legislation is finalized, the competent authority shall actively consult stakeholders (e.g., the trade association); regularly invite scholars and experts to review</w:t>
            </w:r>
          </w:p>
        </w:tc>
        <w:tc>
          <w:tcPr/>
          <w:p>
            <w:pPr>
              <w:pStyle w:val="Compact"/>
            </w:pPr>
            <w:r>
              <w:t xml:space="preserve">Lee Yen-Hsiu</w:t>
            </w:r>
          </w:p>
        </w:tc>
        <w:tc>
          <w:tcPr/>
          <w:p>
            <w:pPr>
              <w:pStyle w:val="Compact"/>
            </w:pPr>
            <w:r>
              <w:t xml:space="preserve">KO Ju-Chun, Lin Szu-Ming, Lai Shyh-Bao</w:t>
            </w:r>
          </w:p>
        </w:tc>
        <w:tc>
          <w:tcPr/>
          <w:p>
            <w:pPr>
              <w:pStyle w:val="Compact"/>
            </w:pPr>
            <w:r>
              <w:t xml:space="preserve">Co-signed</w:t>
            </w:r>
          </w:p>
        </w:tc>
      </w:tr>
      <w:tr>
        <w:tc>
          <w:tcPr/>
          <w:p>
            <w:pPr>
              <w:pStyle w:val="Compact"/>
            </w:pPr>
            <w:r>
              <w:rPr>
                <w:b/>
                <w:bCs/>
              </w:rPr>
              <w:t xml:space="preserve">6</w:t>
            </w:r>
          </w:p>
        </w:tc>
        <w:tc>
          <w:tcPr/>
          <w:p>
            <w:pPr>
              <w:pStyle w:val="Compact"/>
            </w:pPr>
            <w:r>
              <w:rPr>
                <w:b/>
                <w:bCs/>
              </w:rPr>
              <w:t xml:space="preserve">Art. 43</w:t>
            </w:r>
          </w:p>
        </w:tc>
        <w:tc>
          <w:tcPr/>
          <w:p>
            <w:pPr>
              <w:pStyle w:val="Compact"/>
            </w:pPr>
            <w:r>
              <w:rPr>
                <w:b/>
                <w:bCs/>
              </w:rPr>
              <w:t xml:space="preserve">Amend the FinTech Development and Innovation Experimentation Act to add a FinTech Innovation Development Fund (R&amp;D subsidies, talent cultivation, public education)</w:t>
            </w:r>
          </w:p>
        </w:tc>
        <w:tc>
          <w:tcPr/>
          <w:p>
            <w:pPr>
              <w:pStyle w:val="Compact"/>
            </w:pPr>
            <w:r>
              <w:rPr>
                <w:b/>
                <w:bCs/>
              </w:rPr>
              <w:t xml:space="preserve">KO Ju-Chun</w:t>
            </w:r>
          </w:p>
        </w:tc>
        <w:tc>
          <w:tcPr/>
          <w:p>
            <w:pPr>
              <w:pStyle w:val="Compact"/>
            </w:pPr>
            <w:r>
              <w:rPr>
                <w:b/>
                <w:bCs/>
              </w:rPr>
              <w:t xml:space="preserve">Lai Shyh-Bao, Lee Yen-Hsiu, Liu Shu-Pin</w:t>
            </w:r>
          </w:p>
        </w:tc>
        <w:tc>
          <w:tcPr/>
          <w:p>
            <w:pPr>
              <w:pStyle w:val="Compact"/>
            </w:pPr>
            <w:r>
              <w:t xml:space="preserve">⭐</w:t>
            </w:r>
            <w:r>
              <w:t xml:space="preserve"> </w:t>
            </w:r>
            <w:r>
              <w:rPr>
                <w:b/>
                <w:bCs/>
              </w:rPr>
              <w:t xml:space="preserve">BaoBo's principal proposal (carries KO Art. 43 spirit)</w:t>
            </w:r>
          </w:p>
        </w:tc>
      </w:tr>
      <w:tr>
        <w:tc>
          <w:tcPr/>
          <w:p>
            <w:pPr>
              <w:pStyle w:val="Compact"/>
            </w:pPr>
            <w:r>
              <w:rPr>
                <w:b/>
                <w:bCs/>
              </w:rPr>
              <w:t xml:space="preserve">7</w:t>
            </w:r>
          </w:p>
        </w:tc>
        <w:tc>
          <w:tcPr/>
          <w:p>
            <w:pPr>
              <w:pStyle w:val="Compact"/>
            </w:pPr>
            <w:r>
              <w:rPr>
                <w:b/>
                <w:bCs/>
              </w:rPr>
              <w:t xml:space="preserve">Art. 6</w:t>
            </w:r>
          </w:p>
        </w:tc>
        <w:tc>
          <w:tcPr/>
          <w:p>
            <w:pPr>
              <w:pStyle w:val="Compact"/>
            </w:pPr>
            <w:r>
              <w:rPr>
                <w:b/>
                <w:bCs/>
              </w:rPr>
              <w:t xml:space="preserve">Within one year of passage, FSC to complete a draft regulations on virtual asset derivatives, with rolling reviews every six months; mentions perpetual contracts, copy trading, virtual-asset-based collective investment management, options</w:t>
            </w:r>
          </w:p>
        </w:tc>
        <w:tc>
          <w:tcPr/>
          <w:p>
            <w:pPr>
              <w:pStyle w:val="Compact"/>
            </w:pPr>
            <w:r>
              <w:rPr>
                <w:b/>
                <w:bCs/>
              </w:rPr>
              <w:t xml:space="preserve">KO Ju-Chun</w:t>
            </w:r>
          </w:p>
        </w:tc>
        <w:tc>
          <w:tcPr/>
          <w:p>
            <w:pPr>
              <w:pStyle w:val="Compact"/>
            </w:pPr>
            <w:r>
              <w:rPr>
                <w:b/>
                <w:bCs/>
              </w:rPr>
              <w:t xml:space="preserve">Lai Shyh-Bao, Lee Yen-Hsiu, Liu Shu-Pin</w:t>
            </w:r>
          </w:p>
        </w:tc>
        <w:tc>
          <w:tcPr/>
          <w:p>
            <w:pPr>
              <w:pStyle w:val="Compact"/>
            </w:pPr>
            <w:r>
              <w:t xml:space="preserve">⭐</w:t>
            </w:r>
            <w:r>
              <w:t xml:space="preserve"> </w:t>
            </w:r>
            <w:r>
              <w:rPr>
                <w:b/>
                <w:bCs/>
              </w:rPr>
              <w:t xml:space="preserve">BaoBo's principal proposal</w:t>
            </w:r>
          </w:p>
        </w:tc>
      </w:tr>
      <w:tr>
        <w:tc>
          <w:tcPr/>
          <w:p>
            <w:pPr>
              <w:pStyle w:val="Compact"/>
            </w:pPr>
            <w:r>
              <w:rPr>
                <w:b/>
                <w:bCs/>
              </w:rPr>
              <w:t xml:space="preserve">8</w:t>
            </w:r>
          </w:p>
        </w:tc>
        <w:tc>
          <w:tcPr/>
          <w:p>
            <w:pPr>
              <w:pStyle w:val="Compact"/>
            </w:pPr>
            <w:r>
              <w:rPr>
                <w:b/>
                <w:bCs/>
              </w:rPr>
              <w:t xml:space="preserve">Art. 6</w:t>
            </w:r>
          </w:p>
        </w:tc>
        <w:tc>
          <w:tcPr/>
          <w:p>
            <w:pPr>
              <w:pStyle w:val="Compact"/>
            </w:pPr>
            <w:r>
              <w:rPr>
                <w:b/>
                <w:bCs/>
              </w:rPr>
              <w:t xml:space="preserve">Comprehensively open virtual asset derivative financial products (futures, options, perpetual contracts, swaps, binary options, leveraged trading, index-based derivatives), with adequate risk disclosure and suitability tiering</w:t>
            </w:r>
          </w:p>
        </w:tc>
        <w:tc>
          <w:tcPr/>
          <w:p>
            <w:pPr>
              <w:pStyle w:val="Compact"/>
            </w:pPr>
            <w:r>
              <w:rPr>
                <w:b/>
                <w:bCs/>
              </w:rPr>
              <w:t xml:space="preserve">KO Ju-Chun</w:t>
            </w:r>
          </w:p>
        </w:tc>
        <w:tc>
          <w:tcPr/>
          <w:p>
            <w:pPr>
              <w:pStyle w:val="Compact"/>
            </w:pPr>
            <w:r>
              <w:rPr>
                <w:b/>
                <w:bCs/>
              </w:rPr>
              <w:t xml:space="preserve">Lai Shyh-Bao, Lee Yen-Hsiu, Liu Shu-Pin</w:t>
            </w:r>
          </w:p>
        </w:tc>
        <w:tc>
          <w:tcPr/>
          <w:p>
            <w:pPr>
              <w:pStyle w:val="Compact"/>
            </w:pPr>
            <w:r>
              <w:t xml:space="preserve">⭐</w:t>
            </w:r>
            <w:r>
              <w:t xml:space="preserve"> </w:t>
            </w:r>
            <w:r>
              <w:rPr>
                <w:b/>
                <w:bCs/>
              </w:rPr>
              <w:t xml:space="preserve">BaoBo's principal proposal</w:t>
            </w:r>
          </w:p>
        </w:tc>
      </w:tr>
      <w:tr>
        <w:tc>
          <w:tcPr/>
          <w:p>
            <w:pPr>
              <w:pStyle w:val="Compact"/>
            </w:pPr>
            <w:r>
              <w:t xml:space="preserve">9</w:t>
            </w:r>
          </w:p>
        </w:tc>
        <w:tc>
          <w:tcPr/>
          <w:p>
            <w:pPr>
              <w:pStyle w:val="Compact"/>
            </w:pPr>
            <w:r>
              <w:t xml:space="preserve">Art. 5 / general</w:t>
            </w:r>
          </w:p>
        </w:tc>
        <w:tc>
          <w:tcPr/>
          <w:p>
            <w:pPr>
              <w:pStyle w:val="Compact"/>
            </w:pPr>
            <w:r>
              <w:t xml:space="preserve">Given the cross-border nature of virtual asset markets, FSC to actively monitor FATF and related international supervisory bodies, follow international supervisory trends and best practices</w:t>
            </w:r>
          </w:p>
        </w:tc>
        <w:tc>
          <w:tcPr/>
          <w:p>
            <w:pPr>
              <w:pStyle w:val="Compact"/>
            </w:pPr>
            <w:r>
              <w:t xml:space="preserve">Lai Shyh-Bao, Lee Yen-Hsiu</w:t>
            </w:r>
          </w:p>
        </w:tc>
        <w:tc>
          <w:tcPr/>
          <w:p>
            <w:pPr>
              <w:pStyle w:val="Compact"/>
            </w:pPr>
            <w:r>
              <w:t xml:space="preserve">Liu Shu-Pin, Kuo Kuo-Wen</w:t>
            </w:r>
          </w:p>
        </w:tc>
        <w:tc>
          <w:tcPr/>
          <w:p>
            <w:pPr>
              <w:pStyle w:val="Compact"/>
            </w:pPr>
            <w:r>
              <w:t xml:space="preserve">Co-signed; aligns with</w:t>
            </w:r>
            <w:r>
              <w:t xml:space="preserve"> </w:t>
            </w:r>
            <w:hyperlink r:id="rId14">
              <w:r>
                <w:rPr>
                  <w:rStyle w:val="Hyperlink"/>
                </w:rPr>
                <w:t xml:space="preserve">FATF Rec. 15</w:t>
              </w:r>
            </w:hyperlink>
          </w:p>
        </w:tc>
      </w:tr>
      <w:tr>
        <w:tc>
          <w:tcPr/>
          <w:p>
            <w:pPr>
              <w:pStyle w:val="Compact"/>
            </w:pPr>
            <w:r>
              <w:t xml:space="preserve">10</w:t>
            </w:r>
          </w:p>
        </w:tc>
        <w:tc>
          <w:tcPr/>
          <w:p>
            <w:pPr>
              <w:pStyle w:val="Compact"/>
            </w:pPr>
            <w:r>
              <w:t xml:space="preserve">Art. 2</w:t>
            </w:r>
          </w:p>
        </w:tc>
        <w:tc>
          <w:tcPr/>
          <w:p>
            <w:pPr>
              <w:pStyle w:val="Compact"/>
            </w:pPr>
            <w:r>
              <w:t xml:space="preserve">Virtual asset supervision requires high specialization and dedicated personnel; FSC to continuously review the adequacy of supervisory staffing; Executive Yuan personnel office to assist when necessary</w:t>
            </w:r>
          </w:p>
        </w:tc>
        <w:tc>
          <w:tcPr/>
          <w:p>
            <w:pPr>
              <w:pStyle w:val="Compact"/>
            </w:pPr>
            <w:r>
              <w:t xml:space="preserve">Lai Shyh-Bao, Lee Yen-Hsiu</w:t>
            </w:r>
          </w:p>
        </w:tc>
        <w:tc>
          <w:tcPr/>
          <w:p>
            <w:pPr>
              <w:pStyle w:val="Compact"/>
            </w:pPr>
            <w:r>
              <w:t xml:space="preserve">Liu Shu-Pin, Kuo Kuo-Wen</w:t>
            </w:r>
          </w:p>
        </w:tc>
        <w:tc>
          <w:tcPr/>
          <w:p>
            <w:pPr>
              <w:pStyle w:val="Compact"/>
            </w:pPr>
            <w:r>
              <w:t xml:space="preserve">🟡</w:t>
            </w:r>
            <w:r>
              <w:t xml:space="preserve"> </w:t>
            </w:r>
            <w:r>
              <w:rPr>
                <w:b/>
                <w:bCs/>
              </w:rPr>
              <w:t xml:space="preserve">Mirrors KO Art. 2 ¶2</w:t>
            </w:r>
          </w:p>
        </w:tc>
      </w:tr>
      <w:tr>
        <w:tc>
          <w:tcPr/>
          <w:p>
            <w:pPr>
              <w:pStyle w:val="Compact"/>
            </w:pPr>
            <w:r>
              <w:t xml:space="preserve">11</w:t>
            </w:r>
          </w:p>
        </w:tc>
        <w:tc>
          <w:tcPr/>
          <w:p>
            <w:pPr>
              <w:pStyle w:val="Compact"/>
            </w:pPr>
            <w:r>
              <w:t xml:space="preserve">Art. 12</w:t>
            </w:r>
          </w:p>
        </w:tc>
        <w:tc>
          <w:tcPr/>
          <w:p>
            <w:pPr>
              <w:pStyle w:val="Compact"/>
            </w:pPr>
            <w:r>
              <w:t xml:space="preserve">Transition period for existing responsible persons and business personnel: at least one year, extendable by six months when necessary, to be prescribed in delegated secondary legislation</w:t>
            </w:r>
          </w:p>
        </w:tc>
        <w:tc>
          <w:tcPr/>
          <w:p>
            <w:pPr>
              <w:pStyle w:val="Compact"/>
            </w:pPr>
            <w:r>
              <w:t xml:space="preserve">Lai Shyh-Bao, Lee Yen-Hsiu</w:t>
            </w:r>
          </w:p>
        </w:tc>
        <w:tc>
          <w:tcPr/>
          <w:p>
            <w:pPr>
              <w:pStyle w:val="Compact"/>
            </w:pPr>
            <w:r>
              <w:t xml:space="preserve">Liu Shu-Pin, Kuo Kuo-Wen, KO Ju-Chun</w:t>
            </w:r>
          </w:p>
        </w:tc>
        <w:tc>
          <w:tcPr/>
          <w:p>
            <w:pPr>
              <w:pStyle w:val="Compact"/>
            </w:pPr>
            <w:r>
              <w:t xml:space="preserve">🟡</w:t>
            </w:r>
            <w:r>
              <w:t xml:space="preserve"> </w:t>
            </w:r>
            <w:r>
              <w:rPr>
                <w:b/>
                <w:bCs/>
              </w:rPr>
              <w:t xml:space="preserve">Mirrors KO Art. 12 ¶3 (KO proposed 2 years)</w:t>
            </w:r>
          </w:p>
        </w:tc>
      </w:tr>
      <w:tr>
        <w:tc>
          <w:tcPr/>
          <w:p>
            <w:pPr>
              <w:pStyle w:val="Compact"/>
            </w:pPr>
            <w:r>
              <w:t xml:space="preserve">12</w:t>
            </w:r>
          </w:p>
        </w:tc>
        <w:tc>
          <w:tcPr/>
          <w:p>
            <w:pPr>
              <w:pStyle w:val="Compact"/>
            </w:pPr>
            <w:r>
              <w:t xml:space="preserve">Art. 42</w:t>
            </w:r>
          </w:p>
        </w:tc>
        <w:tc>
          <w:tcPr/>
          <w:p>
            <w:pPr>
              <w:pStyle w:val="Compact"/>
            </w:pPr>
            <w:r>
              <w:t xml:space="preserve">Qualifying stablecoins (licensed under Art. 34 / approved under Art. 35; full-reserve-backed; 1:1 fiat peg; redeemable on demand; primarily for payment/settlement) are not securities under the Securities and Exchange Act, nor commodities under the Futures Trading Act</w:t>
            </w:r>
          </w:p>
        </w:tc>
        <w:tc>
          <w:tcPr/>
          <w:p>
            <w:pPr>
              <w:pStyle w:val="Compact"/>
            </w:pPr>
            <w:r>
              <w:t xml:space="preserve">Lai Shyh-Bao</w:t>
            </w:r>
          </w:p>
        </w:tc>
        <w:tc>
          <w:tcPr/>
          <w:p>
            <w:pPr>
              <w:pStyle w:val="Compact"/>
            </w:pPr>
            <w:r>
              <w:t xml:space="preserve">Lee Yen-Hsiu</w:t>
            </w:r>
          </w:p>
        </w:tc>
        <w:tc>
          <w:tcPr/>
          <w:p>
            <w:pPr>
              <w:pStyle w:val="Compact"/>
            </w:pPr>
            <w:r>
              <w:t xml:space="preserve">🟡</w:t>
            </w:r>
            <w:r>
              <w:t xml:space="preserve"> </w:t>
            </w:r>
            <w:r>
              <w:rPr>
                <w:b/>
                <w:bCs/>
              </w:rPr>
              <w:t xml:space="preserve">Mirrors KO Art. 42 spirit</w:t>
            </w:r>
          </w:p>
        </w:tc>
      </w:tr>
      <w:tr>
        <w:tc>
          <w:tcPr/>
          <w:p>
            <w:pPr>
              <w:pStyle w:val="Compact"/>
            </w:pPr>
            <w:r>
              <w:rPr>
                <w:b/>
                <w:bCs/>
              </w:rPr>
              <w:t xml:space="preserve">13</w:t>
            </w:r>
          </w:p>
        </w:tc>
        <w:tc>
          <w:tcPr/>
          <w:p>
            <w:pPr>
              <w:pStyle w:val="Compact"/>
            </w:pPr>
            <w:r>
              <w:rPr>
                <w:b/>
                <w:bCs/>
              </w:rPr>
              <w:t xml:space="preserve">Art. 47</w:t>
            </w:r>
          </w:p>
        </w:tc>
        <w:tc>
          <w:tcPr/>
          <w:p>
            <w:pPr>
              <w:pStyle w:val="Compact"/>
            </w:pPr>
            <w:r>
              <w:rPr>
                <w:b/>
                <w:bCs/>
              </w:rPr>
              <w:t xml:space="preserve">Comprehensive review of virtual asset seizure, custody, preservation, liquidation, and return; study a processing mechanism that takes in-kind preservation and in-kind return as the principle, with clear rules on exceptional liquidation</w:t>
            </w:r>
          </w:p>
        </w:tc>
        <w:tc>
          <w:tcPr/>
          <w:p>
            <w:pPr>
              <w:pStyle w:val="Compact"/>
            </w:pPr>
            <w:r>
              <w:rPr>
                <w:b/>
                <w:bCs/>
              </w:rPr>
              <w:t xml:space="preserve">KO Ju-Chun, Lee Yen-Hsiu</w:t>
            </w:r>
          </w:p>
        </w:tc>
        <w:tc>
          <w:tcPr/>
          <w:p>
            <w:pPr>
              <w:pStyle w:val="Compact"/>
            </w:pPr>
            <w:r>
              <w:rPr>
                <w:b/>
                <w:bCs/>
              </w:rPr>
              <w:t xml:space="preserve">Liu Shu-Pin, Lai Shyh-Bao</w:t>
            </w:r>
          </w:p>
        </w:tc>
        <w:tc>
          <w:tcPr/>
          <w:p>
            <w:pPr>
              <w:pStyle w:val="Compact"/>
            </w:pPr>
            <w:r>
              <w:t xml:space="preserve">⭐</w:t>
            </w:r>
            <w:r>
              <w:t xml:space="preserve"> </w:t>
            </w:r>
            <w:r>
              <w:rPr>
                <w:b/>
                <w:bCs/>
              </w:rPr>
              <w:t xml:space="preserve">BaoBo's principal proposal (corresponds to KO Art. 47 ¶6)</w:t>
            </w:r>
          </w:p>
        </w:tc>
      </w:tr>
      <w:tr>
        <w:tc>
          <w:tcPr/>
          <w:p>
            <w:pPr>
              <w:pStyle w:val="Compact"/>
            </w:pPr>
            <w:r>
              <w:rPr>
                <w:b/>
                <w:bCs/>
              </w:rPr>
              <w:t xml:space="preserve">14</w:t>
            </w:r>
          </w:p>
        </w:tc>
        <w:tc>
          <w:tcPr/>
          <w:p>
            <w:pPr>
              <w:pStyle w:val="Compact"/>
            </w:pPr>
            <w:r>
              <w:rPr>
                <w:b/>
                <w:bCs/>
              </w:rPr>
              <w:t xml:space="preserve">Art. 20</w:t>
            </w:r>
          </w:p>
        </w:tc>
        <w:tc>
          <w:tcPr/>
          <w:p>
            <w:pPr>
              <w:pStyle w:val="Compact"/>
            </w:pPr>
            <w:r>
              <w:rPr>
                <w:b/>
                <w:bCs/>
              </w:rPr>
              <w:t xml:space="preserve">Within one year of passage, FSC to complete a draft set of regulations governing trading-restriction measures imposed by VASPs on customers; public consultation; clear, transparent and due-process-compliant supervisory mechanism</w:t>
            </w:r>
          </w:p>
        </w:tc>
        <w:tc>
          <w:tcPr/>
          <w:p>
            <w:pPr>
              <w:pStyle w:val="Compact"/>
            </w:pPr>
            <w:r>
              <w:rPr>
                <w:b/>
                <w:bCs/>
              </w:rPr>
              <w:t xml:space="preserve">KO Ju-Chun, Lai Shyh-Bao, Lee Yen-Hsiu</w:t>
            </w:r>
          </w:p>
        </w:tc>
        <w:tc>
          <w:tcPr/>
          <w:p>
            <w:pPr>
              <w:pStyle w:val="Compact"/>
            </w:pPr>
            <w:r>
              <w:rPr>
                <w:b/>
                <w:bCs/>
              </w:rPr>
              <w:t xml:space="preserve">Liu Shu-Pin</w:t>
            </w:r>
          </w:p>
        </w:tc>
        <w:tc>
          <w:tcPr/>
          <w:p>
            <w:pPr>
              <w:pStyle w:val="Compact"/>
            </w:pPr>
            <w:r>
              <w:t xml:space="preserve">⭐</w:t>
            </w:r>
            <w:r>
              <w:t xml:space="preserve"> </w:t>
            </w:r>
            <w:r>
              <w:rPr>
                <w:b/>
                <w:bCs/>
              </w:rPr>
              <w:t xml:space="preserve">BaoBo's principal proposal (corresponds to KO Art. 20 20-day cap)</w:t>
            </w:r>
          </w:p>
        </w:tc>
      </w:tr>
      <w:tr>
        <w:tc>
          <w:tcPr/>
          <w:p>
            <w:pPr>
              <w:pStyle w:val="Compact"/>
            </w:pPr>
            <w:r>
              <w:rPr>
                <w:b/>
                <w:bCs/>
              </w:rPr>
              <w:t xml:space="preserve">15</w:t>
            </w:r>
          </w:p>
        </w:tc>
        <w:tc>
          <w:tcPr/>
          <w:p>
            <w:pPr>
              <w:pStyle w:val="Compact"/>
            </w:pPr>
            <w:r>
              <w:rPr>
                <w:b/>
                <w:bCs/>
              </w:rPr>
              <w:t xml:space="preserve">Art. 25</w:t>
            </w:r>
          </w:p>
        </w:tc>
        <w:tc>
          <w:tcPr/>
          <w:p>
            <w:pPr>
              <w:pStyle w:val="Compact"/>
            </w:pPr>
            <w:r>
              <w:rPr>
                <w:b/>
                <w:bCs/>
              </w:rPr>
              <w:t xml:space="preserve">Secondary filing-for-record rules to be developed in sync with Art. 25 secondary legislation; review procedure "shall use fifteen days as the basis" (except where extension is necessary); build a case-progress lookup and overdue-handling mechanism</w:t>
            </w:r>
          </w:p>
        </w:tc>
        <w:tc>
          <w:tcPr/>
          <w:p>
            <w:pPr>
              <w:pStyle w:val="Compact"/>
            </w:pPr>
            <w:r>
              <w:rPr>
                <w:b/>
                <w:bCs/>
              </w:rPr>
              <w:t xml:space="preserve">KO Ju-Chun</w:t>
            </w:r>
          </w:p>
        </w:tc>
        <w:tc>
          <w:tcPr/>
          <w:p>
            <w:pPr>
              <w:pStyle w:val="Compact"/>
            </w:pPr>
            <w:r>
              <w:rPr>
                <w:b/>
                <w:bCs/>
              </w:rPr>
              <w:t xml:space="preserve">Lai Shyh-Bao, Lee Yen-Hsiu, Liu Shu-Pin</w:t>
            </w:r>
          </w:p>
        </w:tc>
        <w:tc>
          <w:tcPr/>
          <w:p>
            <w:pPr>
              <w:pStyle w:val="Compact"/>
            </w:pPr>
            <w:r>
              <w:t xml:space="preserve">⭐</w:t>
            </w:r>
            <w:r>
              <w:t xml:space="preserve"> </w:t>
            </w:r>
            <w:r>
              <w:rPr>
                <w:b/>
                <w:bCs/>
              </w:rPr>
              <w:t xml:space="preserve">BaoBo's principal proposal (procedural safeguards for KO Art. 25 filing regime)</w:t>
            </w:r>
          </w:p>
        </w:tc>
      </w:tr>
    </w:tbl>
    <w:p>
      <w:pPr>
        <w:pStyle w:val="BodyText"/>
      </w:pPr>
      <w:r>
        <w:t xml:space="preserve">(Note: some co-signer names are partially illegible on the original handwritten copies. The above reflects the names I could read confidently; the Legislative Yuan's official documents remain the authoritative record.)</w:t>
      </w:r>
    </w:p>
    <w:bookmarkEnd w:id="57"/>
    <w:bookmarkStart w:id="58" w:name="classification-and-my-role"/>
    <w:p>
      <w:pPr>
        <w:pStyle w:val="Heading3"/>
      </w:pPr>
      <w:r>
        <w:t xml:space="preserve">Classification and my role</w:t>
      </w:r>
    </w:p>
    <w:p>
      <w:pPr>
        <w:pStyle w:val="FirstParagraph"/>
      </w:pPr>
      <w:r>
        <w:rPr>
          <w:b/>
          <w:bCs/>
        </w:rPr>
        <w:t xml:space="preserve">Type A — Industry space / international alignment (# 1, 2, 3, 4):</w:t>
      </w:r>
      <w:r>
        <w:t xml:space="preserve"> </w:t>
      </w:r>
      <w:r>
        <w:t xml:space="preserve">primarily driven by Kuo Kuo-Wen and Lee Yen-Hsiu. I supported and co-signed.</w:t>
      </w:r>
    </w:p>
    <w:p>
      <w:pPr>
        <w:pStyle w:val="BodyText"/>
      </w:pPr>
      <w:r>
        <w:rPr>
          <w:b/>
          <w:bCs/>
        </w:rPr>
        <w:t xml:space="preserve">Type B — Supervision of delegated secondary legislation (# 5, 9):</w:t>
      </w:r>
      <w:r>
        <w:t xml:space="preserve"> </w:t>
      </w:r>
      <w:r>
        <w:t xml:space="preserve">procedural resolutions ensuring secondary legislation is not drafted behind closed doors. I co-signed.</w:t>
      </w:r>
    </w:p>
    <w:p>
      <w:pPr>
        <w:pStyle w:val="BodyText"/>
      </w:pPr>
      <w:r>
        <w:rPr>
          <w:b/>
          <w:bCs/>
        </w:rPr>
        <w:t xml:space="preserve">Type C — Supervisory capacity (# 10):</w:t>
      </w:r>
      <w:r>
        <w:t xml:space="preserve"> </w:t>
      </w:r>
      <w:r>
        <w:t xml:space="preserve">🟡 mirrors the spirit of "a dedicated unit and dedicated personnel" in my Article 2, Paragraph 2. The clause did not make it; the resolution did.</w:t>
      </w:r>
    </w:p>
    <w:p>
      <w:pPr>
        <w:pStyle w:val="BodyText"/>
      </w:pPr>
      <w:r>
        <w:rPr>
          <w:b/>
          <w:bCs/>
        </w:rPr>
        <w:t xml:space="preserve">Type D — Industry practice transition (# 12):</w:t>
      </w:r>
      <w:r>
        <w:t xml:space="preserve"> </w:t>
      </w:r>
      <w:r>
        <w:t xml:space="preserve">🟡 mirrors my Article 12, Paragraph 3 (two years' transition). Retreated from two years to one (plus six months when necessary), but incumbent personnel will not be dismissed overnight.</w:t>
      </w:r>
    </w:p>
    <w:p>
      <w:pPr>
        <w:pStyle w:val="BodyText"/>
      </w:pPr>
      <w:r>
        <w:rPr>
          <w:b/>
          <w:bCs/>
        </w:rPr>
        <w:t xml:space="preserve">Type E — BaoBo's core battles (# 6, 7, 8, 13, 14, 15):</w:t>
      </w:r>
      <w:r>
        <w:t xml:space="preserve"> </w:t>
      </w:r>
      <w:r>
        <w:t xml:space="preserve">⭐ These six principal proposals are the outcomes of</w:t>
      </w:r>
      <w:r>
        <w:t xml:space="preserve"> </w:t>
      </w:r>
      <w:r>
        <w:rPr>
          <w:b/>
          <w:bCs/>
        </w:rPr>
        <w:t xml:space="preserve">my primary proposals or my primary push</w:t>
      </w:r>
      <w:r>
        <w:t xml:space="preserve"> </w:t>
      </w:r>
      <w:r>
        <w:t xml:space="preserve">in this review:</w:t>
      </w:r>
    </w:p>
    <w:p>
      <w:pPr>
        <w:pStyle w:val="Compact"/>
        <w:numPr>
          <w:ilvl w:val="0"/>
          <w:numId w:val="1014"/>
        </w:numPr>
      </w:pPr>
      <w:r>
        <w:rPr>
          <w:b/>
          <w:bCs/>
        </w:rPr>
        <w:t xml:space="preserve"># 6</w:t>
      </w:r>
      <w:r>
        <w:t xml:space="preserve">: Amend the FinTech Development and Innovation Experimentation Act to add the FinTech Innovation Development Fund (KO Art. 43 spirit)</w:t>
      </w:r>
    </w:p>
    <w:p>
      <w:pPr>
        <w:pStyle w:val="Compact"/>
        <w:numPr>
          <w:ilvl w:val="0"/>
          <w:numId w:val="1014"/>
        </w:numPr>
      </w:pPr>
      <w:r>
        <w:rPr>
          <w:b/>
          <w:bCs/>
        </w:rPr>
        <w:t xml:space="preserve"># 7</w:t>
      </w:r>
      <w:r>
        <w:t xml:space="preserve">: Within one year, draft regulations for virtual asset derivatives</w:t>
      </w:r>
    </w:p>
    <w:p>
      <w:pPr>
        <w:pStyle w:val="Compact"/>
        <w:numPr>
          <w:ilvl w:val="0"/>
          <w:numId w:val="1014"/>
        </w:numPr>
      </w:pPr>
      <w:r>
        <w:rPr>
          <w:b/>
          <w:bCs/>
        </w:rPr>
        <w:t xml:space="preserve"># 8</w:t>
      </w:r>
      <w:r>
        <w:t xml:space="preserve">: Comprehensively open virtual asset derivatives (futures, options, perpetuals, swaps, binaries, leveraged, index)</w:t>
      </w:r>
    </w:p>
    <w:p>
      <w:pPr>
        <w:pStyle w:val="Compact"/>
        <w:numPr>
          <w:ilvl w:val="0"/>
          <w:numId w:val="1014"/>
        </w:numPr>
      </w:pPr>
      <w:r>
        <w:rPr>
          <w:b/>
          <w:bCs/>
        </w:rPr>
        <w:t xml:space="preserve"># 13</w:t>
      </w:r>
      <w:r>
        <w:t xml:space="preserve">: Comprehensive review of seizure, custody, liquidation, and return of virtual assets (in-kind return as the principle) — corresponds to KO Art. 47 ¶6</w:t>
      </w:r>
    </w:p>
    <w:p>
      <w:pPr>
        <w:pStyle w:val="Compact"/>
        <w:numPr>
          <w:ilvl w:val="0"/>
          <w:numId w:val="1014"/>
        </w:numPr>
      </w:pPr>
      <w:r>
        <w:rPr>
          <w:b/>
          <w:bCs/>
        </w:rPr>
        <w:t xml:space="preserve"># 13</w:t>
      </w:r>
      <w:r>
        <w:t xml:space="preserve">: Within one year, draft regulations on suspension of trading, with a remedy procedure — corresponds to KO Art. 20 ¶2</w:t>
      </w:r>
    </w:p>
    <w:p>
      <w:pPr>
        <w:pStyle w:val="Compact"/>
        <w:numPr>
          <w:ilvl w:val="0"/>
          <w:numId w:val="1014"/>
        </w:numPr>
      </w:pPr>
      <w:r>
        <w:rPr>
          <w:b/>
          <w:bCs/>
        </w:rPr>
        <w:t xml:space="preserve"># 13</w:t>
      </w:r>
      <w:r>
        <w:t xml:space="preserve">: Secondary filing-for-record rules under Art. 25 should synchronize and use</w:t>
      </w:r>
      <w:r>
        <w:t xml:space="preserve"> </w:t>
      </w:r>
      <w:r>
        <w:rPr>
          <w:b/>
          <w:bCs/>
        </w:rPr>
        <w:t xml:space="preserve">fifteen days as the basis</w:t>
      </w:r>
    </w:p>
    <w:p>
      <w:pPr>
        <w:pStyle w:val="FirstParagraph"/>
      </w:pPr>
      <w:r>
        <w:t xml:space="preserve">A note on the three resolutions for pages 7, 8, and 9:</w:t>
      </w:r>
    </w:p>
    <w:p>
      <w:pPr>
        <w:pStyle w:val="BodyText"/>
      </w:pPr>
      <w:r>
        <w:t xml:space="preserve">I paid particular attention to virtual asset derivatives. Products such as perpetual contracts, copy trading, virtual-asset-based collective investment management, and virtual-asset-based options have long been mature internationally. But Taiwan currently has no legal virtual asset derivatives market at all, leading to:</w:t>
      </w:r>
    </w:p>
    <w:p>
      <w:pPr>
        <w:pStyle w:val="Compact"/>
        <w:numPr>
          <w:ilvl w:val="0"/>
          <w:numId w:val="1015"/>
        </w:numPr>
      </w:pPr>
      <w:r>
        <w:t xml:space="preserve">Domestic investors'</w:t>
      </w:r>
      <w:r>
        <w:t xml:space="preserve"> </w:t>
      </w:r>
      <w:r>
        <w:rPr>
          <w:b/>
          <w:bCs/>
        </w:rPr>
        <w:t xml:space="preserve">capital flows offshore</w:t>
      </w:r>
      <w:r>
        <w:t xml:space="preserve"> </w:t>
      </w:r>
      <w:r>
        <w:t xml:space="preserve">to unregulated platforms;</w:t>
      </w:r>
    </w:p>
    <w:p>
      <w:pPr>
        <w:pStyle w:val="Compact"/>
        <w:numPr>
          <w:ilvl w:val="0"/>
          <w:numId w:val="1015"/>
        </w:numPr>
      </w:pPr>
      <w:r>
        <w:t xml:space="preserve">Once a foreign platform collapses,</w:t>
      </w:r>
      <w:r>
        <w:t xml:space="preserve"> </w:t>
      </w:r>
      <w:r>
        <w:rPr>
          <w:b/>
          <w:bCs/>
        </w:rPr>
        <w:t xml:space="preserve">there is no path to recovery</w:t>
      </w:r>
      <w:r>
        <w:t xml:space="preserve">;</w:t>
      </w:r>
    </w:p>
    <w:p>
      <w:pPr>
        <w:pStyle w:val="Compact"/>
        <w:numPr>
          <w:ilvl w:val="0"/>
          <w:numId w:val="1015"/>
        </w:numPr>
      </w:pPr>
      <w:r>
        <w:t xml:space="preserve">The competent authority</w:t>
      </w:r>
      <w:r>
        <w:t xml:space="preserve"> </w:t>
      </w:r>
      <w:r>
        <w:rPr>
          <w:b/>
          <w:bCs/>
        </w:rPr>
        <w:t xml:space="preserve">has difficulty asserting jurisdiction</w:t>
      </w:r>
      <w:r>
        <w:t xml:space="preserve">.</w:t>
      </w:r>
    </w:p>
    <w:p>
      <w:pPr>
        <w:pStyle w:val="FirstParagraph"/>
      </w:pPr>
      <w:r>
        <w:t xml:space="preserve">I proposed that the FSC complete the study of draft derivatives regulations within a year, with rolling reviews every six months and a timetable within three months.</w:t>
      </w:r>
      <w:r>
        <w:t xml:space="preserve"> </w:t>
      </w:r>
      <w:r>
        <w:rPr>
          <w:b/>
          <w:bCs/>
        </w:rPr>
        <w:t xml:space="preserve">This is the track on which the next phase of legislation will run.</w:t>
      </w:r>
    </w:p>
    <w:p>
      <w:pPr>
        <w:pStyle w:val="BodyText"/>
      </w:pPr>
      <w:r>
        <w:rPr>
          <w:b/>
          <w:bCs/>
        </w:rPr>
        <w:t xml:space="preserve">Type F — Stablecoin boundaries (# 12):</w:t>
      </w:r>
      <w:r>
        <w:t xml:space="preserve"> </w:t>
      </w:r>
      <w:r>
        <w:t xml:space="preserve">🟡 mirrors the market manipulation exemption in my Article 42, Paragraph 4. Clarifies that qualifying stablecoins are neither securities nor commodities, so they do not drift between different financial statutes.</w:t>
      </w:r>
    </w:p>
    <w:bookmarkEnd w:id="58"/>
    <w:bookmarkStart w:id="59" w:name="adding-it-all-up"/>
    <w:p>
      <w:pPr>
        <w:pStyle w:val="Heading3"/>
      </w:pPr>
      <w:r>
        <w:t xml:space="preserve">Adding it all up</w:t>
      </w:r>
    </w:p>
    <w:p>
      <w:pPr>
        <w:pStyle w:val="FirstParagraph"/>
      </w:pPr>
      <w:r>
        <w:t xml:space="preserve">Of the 15 supplementary resolutions,</w:t>
      </w:r>
      <w:r>
        <w:t xml:space="preserve"> </w:t>
      </w:r>
      <w:r>
        <w:rPr>
          <w:b/>
          <w:bCs/>
        </w:rPr>
        <w:t xml:space="preserve">at least 6 were principally proposed by me (# 6, 7, 8, 13, 14, 15) and 3 more correspond directly to KO-version arguments (# 10, 11, 12)</w:t>
      </w:r>
      <w:r>
        <w:t xml:space="preserve"> </w:t>
      </w:r>
      <w:r>
        <w:t xml:space="preserve">— meaning that</w:t>
      </w:r>
      <w:r>
        <w:t xml:space="preserve"> </w:t>
      </w:r>
      <w:r>
        <w:rPr>
          <w:b/>
          <w:bCs/>
        </w:rPr>
        <w:t xml:space="preserve">roughly 60% (9/15) of the supplementary resolutions carry my fingerprint.</w:t>
      </w:r>
    </w:p>
    <w:p>
      <w:pPr>
        <w:pStyle w:val="BodyText"/>
      </w:pPr>
      <w:r>
        <w:t xml:space="preserve">Combined with 13 clauses fully or substantively adopted (🟢) plus 4 partially adopted (🟡) plus 1 KO-exclusive design landed via supplementary resolutions (⭐💬), the overall adoption rate of these 22 amendment proposals is over 75 percent.</w:t>
      </w:r>
    </w:p>
    <w:p>
      <w:pPr>
        <w:pStyle w:val="BodyText"/>
      </w:pPr>
      <w:r>
        <w:t xml:space="preserve">I am not boasting. This is the result of "</w:t>
      </w:r>
      <w:r>
        <w:rPr>
          <w:b/>
          <w:bCs/>
        </w:rPr>
        <w:t xml:space="preserve">being prepared, having data, citing comparative law, and having fallback proposals</w:t>
      </w:r>
      <w:r>
        <w:t xml:space="preserve">" throughout the review.</w:t>
      </w:r>
    </w:p>
    <w:p>
      <w:r>
        <w:pict>
          <v:rect style="width:0;height:1.5pt" o:hralign="center" o:hrstd="t" o:hr="t"/>
        </w:pict>
      </w:r>
    </w:p>
    <w:bookmarkEnd w:id="59"/>
    <w:bookmarkEnd w:id="60"/>
    <w:bookmarkStart w:id="69" w:name="X05db196308b5a2d36b00a04c2fe85d4beeb734d"/>
    <w:p>
      <w:pPr>
        <w:pStyle w:val="Heading2"/>
      </w:pPr>
      <w:r>
        <w:t xml:space="preserve">Chapter Four: Taiwan's VASP Act in International Perspective</w:t>
      </w:r>
    </w:p>
    <w:p>
      <w:pPr>
        <w:pStyle w:val="FirstParagraph"/>
      </w:pPr>
      <w:r>
        <w:t xml:space="preserve">If someone in 2036 reads this notebook and asks me: "Compared internationally, how does Taiwan's VASP Act rank?"</w:t>
      </w:r>
    </w:p>
    <w:p>
      <w:pPr>
        <w:pStyle w:val="BodyText"/>
      </w:pPr>
      <w:r>
        <w:t xml:space="preserve">I would answer:</w:t>
      </w:r>
      <w:r>
        <w:t xml:space="preserve"> </w:t>
      </w:r>
      <w:r>
        <w:rPr>
          <w:b/>
          <w:bCs/>
        </w:rPr>
        <w:t xml:space="preserve">"A top student in the middle tier."</w:t>
      </w:r>
    </w:p>
    <w:bookmarkStart w:id="61" w:name="versus-mica"/>
    <w:p>
      <w:pPr>
        <w:pStyle w:val="Heading3"/>
      </w:pPr>
      <w:r>
        <w:t xml:space="preserve">Versus MiCA</w:t>
      </w:r>
    </w:p>
    <w:p>
      <w:pPr>
        <w:pStyle w:val="FirstParagraph"/>
      </w:pPr>
      <w:r>
        <w:t xml:space="preserve">The EU's MiCA Regulation is currently the most comprehensive and voluminous virtual asset framework in the world (300+ articles, plus more than 30 RTSs and ITSs). Taiwan's law has only 56 articles.</w:t>
      </w:r>
      <w:r>
        <w:t xml:space="preserve"> </w:t>
      </w:r>
      <w:r>
        <w:rPr>
          <w:b/>
          <w:bCs/>
        </w:rPr>
        <w:t xml:space="preserve">You cannot compare them on architecture.</w:t>
      </w:r>
    </w:p>
    <w:p>
      <w:pPr>
        <w:pStyle w:val="BodyText"/>
      </w:pPr>
      <w:r>
        <w:t xml:space="preserve">But Taiwan's law is in some places</w:t>
      </w:r>
      <w:r>
        <w:t xml:space="preserve"> </w:t>
      </w:r>
      <w:r>
        <w:rPr>
          <w:b/>
          <w:bCs/>
        </w:rPr>
        <w:t xml:space="preserve">more precise</w:t>
      </w:r>
      <w:r>
        <w:t xml:space="preserve">:</w:t>
      </w:r>
    </w:p>
    <w:p>
      <w:pPr>
        <w:pStyle w:val="Compact"/>
        <w:numPr>
          <w:ilvl w:val="0"/>
          <w:numId w:val="1016"/>
        </w:numPr>
      </w:pPr>
      <w:r>
        <w:rPr>
          <w:b/>
          <w:bCs/>
        </w:rPr>
        <w:t xml:space="preserve">Article 25's filing-for-record regime</w:t>
      </w:r>
      <w:r>
        <w:t xml:space="preserve">: MiCA's</w:t>
      </w:r>
      <w:r>
        <w:t xml:space="preserve"> </w:t>
      </w:r>
      <w:r>
        <w:rPr>
          <w:i/>
          <w:iCs/>
        </w:rPr>
        <w:t xml:space="preserve">ex ante</w:t>
      </w:r>
      <w:r>
        <w:t xml:space="preserve"> </w:t>
      </w:r>
      <w:r>
        <w:t xml:space="preserve">notification regime (whitepapers 20 working days before) is closer to Taiwan's filing-for-record design, but MiCA's whitepaper disclosure burden is heavy. Taiwan's filing-for-record design is light,</w:t>
      </w:r>
      <w:r>
        <w:t xml:space="preserve"> </w:t>
      </w:r>
      <w:r>
        <w:rPr>
          <w:b/>
          <w:bCs/>
        </w:rPr>
        <w:t xml:space="preserve">closer to Japan's PSA model</w:t>
      </w:r>
      <w:r>
        <w:t xml:space="preserve">.</w:t>
      </w:r>
    </w:p>
    <w:p>
      <w:pPr>
        <w:pStyle w:val="Compact"/>
        <w:numPr>
          <w:ilvl w:val="0"/>
          <w:numId w:val="1016"/>
        </w:numPr>
      </w:pPr>
      <w:r>
        <w:rPr>
          <w:b/>
          <w:bCs/>
        </w:rPr>
        <w:t xml:space="preserve">Article 47's in-kind return spirit</w:t>
      </w:r>
      <w:r>
        <w:t xml:space="preserve">: MiCA does not address the form-of-asset question in criminal recovery (that is up to each country's criminal procedure law). Taiwan, by way of a</w:t>
      </w:r>
      <w:r>
        <w:t xml:space="preserve"> </w:t>
      </w:r>
      <w:r>
        <w:rPr>
          <w:b/>
          <w:bCs/>
        </w:rPr>
        <w:t xml:space="preserve">legislative explanation plus a supplementary resolution</w:t>
      </w:r>
      <w:r>
        <w:t xml:space="preserve">, established the principle —</w:t>
      </w:r>
      <w:r>
        <w:t xml:space="preserve"> </w:t>
      </w:r>
      <w:r>
        <w:rPr>
          <w:b/>
          <w:bCs/>
        </w:rPr>
        <w:t xml:space="preserve">ahead of MiCA on this point</w:t>
      </w:r>
      <w:r>
        <w:t xml:space="preserve">.</w:t>
      </w:r>
    </w:p>
    <w:bookmarkEnd w:id="61"/>
    <w:bookmarkStart w:id="62" w:name="versus-the-us-genius-act"/>
    <w:p>
      <w:pPr>
        <w:pStyle w:val="Heading3"/>
      </w:pPr>
      <w:r>
        <w:t xml:space="preserve">Versus the U.S. GENIUS Act</w:t>
      </w:r>
    </w:p>
    <w:p>
      <w:pPr>
        <w:pStyle w:val="FirstParagraph"/>
      </w:pPr>
      <w:r>
        <w:t xml:space="preserve">The GENIUS Act is the U.S. stablecoin statute. Taiwan's VASP Act covers stablecoins only in Articles 34 to 36 —</w:t>
      </w:r>
      <w:r>
        <w:t xml:space="preserve"> </w:t>
      </w:r>
      <w:r>
        <w:rPr>
          <w:b/>
          <w:bCs/>
        </w:rPr>
        <w:t xml:space="preserve">much simpler</w:t>
      </w:r>
      <w:r>
        <w:t xml:space="preserve">. But there are two shared design choices:</w:t>
      </w:r>
    </w:p>
    <w:p>
      <w:pPr>
        <w:pStyle w:val="Compact"/>
        <w:numPr>
          <w:ilvl w:val="0"/>
          <w:numId w:val="1017"/>
        </w:numPr>
      </w:pPr>
      <w:r>
        <w:rPr>
          <w:b/>
          <w:bCs/>
        </w:rPr>
        <w:t xml:space="preserve">Full reserve assets</w:t>
      </w:r>
      <w:r>
        <w:t xml:space="preserve"> </w:t>
      </w:r>
      <w:r>
        <w:t xml:space="preserve">(Article 36) — fully aligned with GENIUS § 4(a)(1)</w:t>
      </w:r>
    </w:p>
    <w:p>
      <w:pPr>
        <w:pStyle w:val="Compact"/>
        <w:numPr>
          <w:ilvl w:val="0"/>
          <w:numId w:val="1017"/>
        </w:numPr>
      </w:pPr>
      <w:r>
        <w:rPr>
          <w:b/>
          <w:bCs/>
        </w:rPr>
        <w:t xml:space="preserve">1:1 fiat denomination and redemption obligations</w:t>
      </w:r>
      <w:r>
        <w:t xml:space="preserve"> </w:t>
      </w:r>
      <w:r>
        <w:t xml:space="preserve">(codified in supplementary resolution page-13)</w:t>
      </w:r>
    </w:p>
    <w:p>
      <w:pPr>
        <w:pStyle w:val="FirstParagraph"/>
      </w:pPr>
      <w:r>
        <w:t xml:space="preserve">The difference: GENIUS only regulates U.S.-issued stablecoins. Article 35 of Taiwan's law, with the flexibility proviso ("except as otherwise provided by the competent authority"), allows foreign stablecoins such as USDT and USDC to circulate legally in Taiwan.</w:t>
      </w:r>
      <w:r>
        <w:t xml:space="preserve"> </w:t>
      </w:r>
      <w:r>
        <w:rPr>
          <w:b/>
          <w:bCs/>
        </w:rPr>
        <w:t xml:space="preserve">This is where Taiwan is more pragmatic than GENIUS.</w:t>
      </w:r>
    </w:p>
    <w:bookmarkEnd w:id="62"/>
    <w:bookmarkStart w:id="63" w:name="versus-japans-psa"/>
    <w:p>
      <w:pPr>
        <w:pStyle w:val="Heading3"/>
      </w:pPr>
      <w:r>
        <w:t xml:space="preserve">Versus Japan's PSA</w:t>
      </w:r>
    </w:p>
    <w:p>
      <w:pPr>
        <w:pStyle w:val="FirstParagraph"/>
      </w:pPr>
      <w:r>
        <w:t xml:space="preserve">Japan's PSA is the oldest and most mature virtual asset framework in Asia. Several aspects of Taiwan's VASP Act borrow directly from Japan:</w:t>
      </w:r>
    </w:p>
    <w:p>
      <w:pPr>
        <w:pStyle w:val="Compact"/>
        <w:numPr>
          <w:ilvl w:val="0"/>
          <w:numId w:val="1018"/>
        </w:numPr>
      </w:pPr>
      <w:r>
        <w:rPr>
          <w:b/>
          <w:bCs/>
        </w:rPr>
        <w:t xml:space="preserve">The 7-category business classification in Article 6</w:t>
      </w:r>
      <w:r>
        <w:t xml:space="preserve">: similar to the service classifications in Article 23 of the Japanese Cabinet Office Order;</w:t>
      </w:r>
    </w:p>
    <w:p>
      <w:pPr>
        <w:pStyle w:val="Compact"/>
        <w:numPr>
          <w:ilvl w:val="0"/>
          <w:numId w:val="1018"/>
        </w:numPr>
      </w:pPr>
      <w:r>
        <w:rPr>
          <w:b/>
          <w:bCs/>
        </w:rPr>
        <w:t xml:space="preserve">The filing-for-record regime in Article 25</w:t>
      </w:r>
      <w:r>
        <w:t xml:space="preserve">: similar to the "prior notice to the FSA" model in Japan;</w:t>
      </w:r>
    </w:p>
    <w:p>
      <w:pPr>
        <w:pStyle w:val="Compact"/>
        <w:numPr>
          <w:ilvl w:val="0"/>
          <w:numId w:val="1018"/>
        </w:numPr>
      </w:pPr>
      <w:r>
        <w:rPr>
          <w:b/>
          <w:bCs/>
        </w:rPr>
        <w:t xml:space="preserve">The outsourced custody regime in Article 27</w:t>
      </w:r>
      <w:r>
        <w:t xml:space="preserve">: similar to Japan's detailed rules on trust custody.</w:t>
      </w:r>
    </w:p>
    <w:p>
      <w:pPr>
        <w:pStyle w:val="FirstParagraph"/>
      </w:pPr>
      <w:r>
        <w:t xml:space="preserve">But Japan took 8 years to build today's framework. Taiwan walked the same path in 8 months — relying on borrowing and rapid integration.</w:t>
      </w:r>
    </w:p>
    <w:bookmarkEnd w:id="63"/>
    <w:bookmarkStart w:id="64" w:name="versus-south-koreas-vaupa"/>
    <w:p>
      <w:pPr>
        <w:pStyle w:val="Heading3"/>
      </w:pPr>
      <w:r>
        <w:t xml:space="preserve">Versus South Korea's VAUPA</w:t>
      </w:r>
    </w:p>
    <w:p>
      <w:pPr>
        <w:pStyle w:val="FirstParagraph"/>
      </w:pPr>
      <w:r>
        <w:t xml:space="preserve">Korea's VAUPA leans heavily toward "investor protection law," not "business supervision law." Taiwan's VASP Act takes the middle path:</w:t>
      </w:r>
      <w:r>
        <w:t xml:space="preserve"> </w:t>
      </w:r>
      <w:r>
        <w:rPr>
          <w:b/>
          <w:bCs/>
        </w:rPr>
        <w:t xml:space="preserve">business supervision plus investor protection, on two legs.</w:t>
      </w:r>
    </w:p>
    <w:p>
      <w:pPr>
        <w:pStyle w:val="BodyText"/>
      </w:pPr>
      <w:r>
        <w:t xml:space="preserve">From a certain angle, Taiwan is more comprehensive than Korea — VAUPA does not address stablecoins, does not address trade associations, does not address concurrent operation by financial institutions. Taiwan's law covers all of these.</w:t>
      </w:r>
    </w:p>
    <w:bookmarkEnd w:id="64"/>
    <w:bookmarkStart w:id="65" w:name="versus-hong-kongs-stablecoins-ordinance"/>
    <w:p>
      <w:pPr>
        <w:pStyle w:val="Heading3"/>
      </w:pPr>
      <w:r>
        <w:t xml:space="preserve">Versus Hong Kong's Stablecoins Ordinance</w:t>
      </w:r>
    </w:p>
    <w:p>
      <w:pPr>
        <w:pStyle w:val="FirstParagraph"/>
      </w:pPr>
      <w:r>
        <w:t xml:space="preserve">Hong Kong's 2024 Stablecoins Ordinance is very strict — only HKD-pegged stablecoins are permitted, and the issuer must be incorporated in Hong Kong with substantive operations there. Taiwan's design is</w:t>
      </w:r>
      <w:r>
        <w:t xml:space="preserve"> </w:t>
      </w:r>
      <w:r>
        <w:rPr>
          <w:b/>
          <w:bCs/>
        </w:rPr>
        <w:t xml:space="preserve">more open</w:t>
      </w:r>
      <w:r>
        <w:t xml:space="preserve">: Article 35 permits foreign stablecoins to circulate in Taiwan after approval by the competent authority.</w:t>
      </w:r>
    </w:p>
    <w:bookmarkEnd w:id="65"/>
    <w:bookmarkStart w:id="66" w:name="taiwans-strengths"/>
    <w:p>
      <w:pPr>
        <w:pStyle w:val="Heading3"/>
      </w:pPr>
      <w:r>
        <w:t xml:space="preserve">Taiwan's strengths</w:t>
      </w:r>
    </w:p>
    <w:p>
      <w:pPr>
        <w:pStyle w:val="Compact"/>
        <w:numPr>
          <w:ilvl w:val="0"/>
          <w:numId w:val="1019"/>
        </w:numPr>
      </w:pPr>
      <w:r>
        <w:rPr>
          <w:b/>
          <w:bCs/>
        </w:rPr>
        <w:t xml:space="preserve">Technology capability</w:t>
      </w:r>
      <w:r>
        <w:t xml:space="preserve">: semiconductors, software, blockchain underlying technology — talent density in Taiwan is high;</w:t>
      </w:r>
    </w:p>
    <w:p>
      <w:pPr>
        <w:pStyle w:val="Compact"/>
        <w:numPr>
          <w:ilvl w:val="0"/>
          <w:numId w:val="1019"/>
        </w:numPr>
      </w:pPr>
      <w:r>
        <w:rPr>
          <w:b/>
          <w:bCs/>
        </w:rPr>
        <w:t xml:space="preserve">An open society</w:t>
      </w:r>
      <w:r>
        <w:t xml:space="preserve">: high receptivity to new technologies and new financial instruments. The</w:t>
      </w:r>
      <w:r>
        <w:t xml:space="preserve"> </w:t>
      </w:r>
      <w:r>
        <w:rPr>
          <w:b/>
          <w:bCs/>
        </w:rPr>
        <w:t xml:space="preserve">vTaiwan and open-government tradition</w:t>
      </w:r>
      <w:r>
        <w:t xml:space="preserve"> </w:t>
      </w:r>
      <w:r>
        <w:t xml:space="preserve">gives policymaking a civic-participation foundation;</w:t>
      </w:r>
    </w:p>
    <w:p>
      <w:pPr>
        <w:pStyle w:val="Compact"/>
        <w:numPr>
          <w:ilvl w:val="0"/>
          <w:numId w:val="1019"/>
        </w:numPr>
      </w:pPr>
      <w:r>
        <w:rPr>
          <w:b/>
          <w:bCs/>
        </w:rPr>
        <w:t xml:space="preserve">Parliamentary transparency</w:t>
      </w:r>
      <w:r>
        <w:t xml:space="preserve">: live-streamed sessions, published speech records, and on-the-record interpellations;</w:t>
      </w:r>
    </w:p>
    <w:p>
      <w:pPr>
        <w:pStyle w:val="Compact"/>
        <w:numPr>
          <w:ilvl w:val="0"/>
          <w:numId w:val="1019"/>
        </w:numPr>
      </w:pPr>
      <w:r>
        <w:rPr>
          <w:b/>
          <w:bCs/>
        </w:rPr>
        <w:t xml:space="preserve">Cross-domain legislative experience</w:t>
      </w:r>
      <w:r>
        <w:t xml:space="preserve">: the Artificial Intelligence Basic Act, passed at the third reading on December 23, 2025, plus this VASP Act, together form a "</w:t>
      </w:r>
      <w:r>
        <w:rPr>
          <w:b/>
          <w:bCs/>
        </w:rPr>
        <w:t xml:space="preserve">technology basic law plus industry-specific act</w:t>
      </w:r>
      <w:r>
        <w:t xml:space="preserve">" dual-track regime — a uniquely Taiwanese legislative capability.</w:t>
      </w:r>
    </w:p>
    <w:bookmarkEnd w:id="66"/>
    <w:bookmarkStart w:id="67" w:name="taiwans-challenges"/>
    <w:p>
      <w:pPr>
        <w:pStyle w:val="Heading3"/>
      </w:pPr>
      <w:r>
        <w:t xml:space="preserve">Taiwan's challenges</w:t>
      </w:r>
    </w:p>
    <w:p>
      <w:pPr>
        <w:pStyle w:val="Compact"/>
        <w:numPr>
          <w:ilvl w:val="0"/>
          <w:numId w:val="1020"/>
        </w:numPr>
      </w:pPr>
      <w:r>
        <w:rPr>
          <w:b/>
          <w:bCs/>
        </w:rPr>
        <w:t xml:space="preserve">Insufficient FSC capacity</w:t>
      </w:r>
      <w:r>
        <w:t xml:space="preserve">: Even though Article 2, Paragraph 2 only made it into a supplementary resolution, "</w:t>
      </w:r>
      <w:r>
        <w:rPr>
          <w:b/>
          <w:bCs/>
        </w:rPr>
        <w:t xml:space="preserve">adequacy of supervisory personnel</w:t>
      </w:r>
      <w:r>
        <w:t xml:space="preserve">" is the real bottleneck;</w:t>
      </w:r>
    </w:p>
    <w:p>
      <w:pPr>
        <w:pStyle w:val="Compact"/>
        <w:numPr>
          <w:ilvl w:val="0"/>
          <w:numId w:val="1020"/>
        </w:numPr>
      </w:pPr>
      <w:r>
        <w:rPr>
          <w:b/>
          <w:bCs/>
        </w:rPr>
        <w:t xml:space="preserve">Small industry scale</w:t>
      </w:r>
      <w:r>
        <w:t xml:space="preserve">: Taiwan's virtual asset operators are still small in terms of scale, customer base, and market cap compared to the U.S., Japan, and Korea;</w:t>
      </w:r>
    </w:p>
    <w:p>
      <w:pPr>
        <w:pStyle w:val="Compact"/>
        <w:numPr>
          <w:ilvl w:val="0"/>
          <w:numId w:val="1020"/>
        </w:numPr>
      </w:pPr>
      <w:r>
        <w:rPr>
          <w:b/>
          <w:bCs/>
        </w:rPr>
        <w:t xml:space="preserve">Cross-border enforcement difficulty</w:t>
      </w:r>
      <w:r>
        <w:t xml:space="preserve">: Article 7, Paragraph 3 on offshore providers setting up branches in Taiwan — actually enforcing that will be a major test;</w:t>
      </w:r>
    </w:p>
    <w:p>
      <w:pPr>
        <w:pStyle w:val="Compact"/>
        <w:numPr>
          <w:ilvl w:val="0"/>
          <w:numId w:val="1020"/>
        </w:numPr>
      </w:pPr>
      <w:r>
        <w:rPr>
          <w:b/>
          <w:bCs/>
        </w:rPr>
        <w:t xml:space="preserve">Tax regime not yet aligned</w:t>
      </w:r>
      <w:r>
        <w:t xml:space="preserve">: income tax, business tax, and stamp duty issues for virtual assets are</w:t>
      </w:r>
      <w:r>
        <w:t xml:space="preserve"> </w:t>
      </w:r>
      <w:r>
        <w:rPr>
          <w:b/>
          <w:bCs/>
        </w:rPr>
        <w:t xml:space="preserve">not addressed by this Act</w:t>
      </w:r>
      <w:r>
        <w:t xml:space="preserve">;</w:t>
      </w:r>
    </w:p>
    <w:p>
      <w:pPr>
        <w:pStyle w:val="Compact"/>
        <w:numPr>
          <w:ilvl w:val="0"/>
          <w:numId w:val="1020"/>
        </w:numPr>
      </w:pPr>
      <w:r>
        <w:rPr>
          <w:b/>
          <w:bCs/>
        </w:rPr>
        <w:t xml:space="preserve">Derivatives postponed</w:t>
      </w:r>
      <w:r>
        <w:t xml:space="preserve">: a draft within a year is the floor, but actual implementation will take longer.</w:t>
      </w:r>
    </w:p>
    <w:bookmarkEnd w:id="67"/>
    <w:bookmarkStart w:id="68" w:name="X5724ce3ed970d31a3ee5a21547b9290c6c54a57"/>
    <w:p>
      <w:pPr>
        <w:pStyle w:val="Heading3"/>
      </w:pPr>
      <w:r>
        <w:t xml:space="preserve">What kind of virtual asset governance leader I hope Taiwan becomes</w:t>
      </w:r>
    </w:p>
    <w:p>
      <w:pPr>
        <w:pStyle w:val="FirstParagraph"/>
      </w:pPr>
      <w:r>
        <w:t xml:space="preserve">Not "</w:t>
      </w:r>
      <w:r>
        <w:rPr>
          <w:b/>
          <w:bCs/>
        </w:rPr>
        <w:t xml:space="preserve">the strictest regulator</w:t>
      </w:r>
      <w:r>
        <w:t xml:space="preserve">" — that is the EU's role.</w:t>
      </w:r>
      <w:r>
        <w:t xml:space="preserve"> </w:t>
      </w:r>
      <w:r>
        <w:t xml:space="preserve">Not "</w:t>
      </w:r>
      <w:r>
        <w:rPr>
          <w:b/>
          <w:bCs/>
        </w:rPr>
        <w:t xml:space="preserve">the most open sandbox</w:t>
      </w:r>
      <w:r>
        <w:t xml:space="preserve">" — that is Dubai's and Singapore's role.</w:t>
      </w:r>
    </w:p>
    <w:p>
      <w:pPr>
        <w:pStyle w:val="BodyText"/>
      </w:pPr>
      <w:r>
        <w:t xml:space="preserve">I hope Taiwan is "</w:t>
      </w:r>
      <w:r>
        <w:rPr>
          <w:b/>
          <w:bCs/>
        </w:rPr>
        <w:t xml:space="preserve">the most pragmatic integrator</w:t>
      </w:r>
      <w:r>
        <w:t xml:space="preserve">" — putting together international regulatory consensus, semiconductor strength, an open-society gene, and cross-party legislative capability, to produce a regulatory environment that</w:t>
      </w:r>
      <w:r>
        <w:t xml:space="preserve"> </w:t>
      </w:r>
      <w:r>
        <w:rPr>
          <w:b/>
          <w:bCs/>
        </w:rPr>
        <w:t xml:space="preserve">local innovators want to stay in, foreign capital wants to come into, victims can recover from, and regulators have tools to govern with.</w:t>
      </w:r>
    </w:p>
    <w:p>
      <w:pPr>
        <w:pStyle w:val="BodyText"/>
      </w:pPr>
      <w:r>
        <w:t xml:space="preserve">The law that passed on June 3 is just the starting point.</w:t>
      </w:r>
    </w:p>
    <w:p>
      <w:r>
        <w:pict>
          <v:rect style="width:0;height:1.5pt" o:hralign="center" o:hrstd="t" o:hr="t"/>
        </w:pict>
      </w:r>
    </w:p>
    <w:bookmarkEnd w:id="68"/>
    <w:bookmarkEnd w:id="69"/>
    <w:bookmarkStart w:id="73" w:name="X371fbef9652975c658821dc83859eae2f696fb6"/>
    <w:p>
      <w:pPr>
        <w:pStyle w:val="Heading2"/>
      </w:pPr>
      <w:r>
        <w:t xml:space="preserve">Chapter Five: Thanks, Reflections, the Future</w:t>
      </w:r>
    </w:p>
    <w:bookmarkStart w:id="70" w:name="thanks"/>
    <w:p>
      <w:pPr>
        <w:pStyle w:val="Heading3"/>
      </w:pPr>
      <w:r>
        <w:t xml:space="preserve">Thanks</w:t>
      </w:r>
    </w:p>
    <w:p>
      <w:pPr>
        <w:pStyle w:val="FirstParagraph"/>
      </w:pPr>
      <w:r>
        <w:t xml:space="preserve">This law was not written by me alone.</w:t>
      </w:r>
    </w:p>
    <w:p>
      <w:pPr>
        <w:pStyle w:val="BodyText"/>
      </w:pPr>
      <w:r>
        <w:rPr>
          <w:b/>
          <w:bCs/>
        </w:rPr>
        <w:t xml:space="preserve">Thanks to the Executive Yuan.</w:t>
      </w:r>
      <w:r>
        <w:t xml:space="preserve"> </w:t>
      </w:r>
      <w:r>
        <w:t xml:space="preserve">The speed at which the cabinet version passed on April 2 exceeded my expectations. Premier Cho Jung-tai's commitment on</w:t>
      </w:r>
      <w:r>
        <w:t xml:space="preserve"> </w:t>
      </w:r>
      <w:r>
        <w:rPr>
          <w:b/>
          <w:bCs/>
        </w:rPr>
        <w:t xml:space="preserve">"supervisory personnel adequacy"</w:t>
      </w:r>
      <w:r>
        <w:t xml:space="preserve"> </w:t>
      </w:r>
      <w:r>
        <w:t xml:space="preserve">during the April 28 general interpellation laid important groundwork for the supplementary resolution on Article 2.</w:t>
      </w:r>
    </w:p>
    <w:p>
      <w:pPr>
        <w:pStyle w:val="BodyText"/>
      </w:pPr>
      <w:r>
        <w:rPr>
          <w:b/>
          <w:bCs/>
        </w:rPr>
        <w:t xml:space="preserve">Thanks to the FSC.</w:t>
      </w:r>
      <w:r>
        <w:t xml:space="preserve"> </w:t>
      </w:r>
      <w:r>
        <w:t xml:space="preserve">Chairperson Peng Chin-Lung </w:t>
      </w:r>
      <w:r>
        <w:rPr>
          <w:rFonts w:hint="eastAsia"/>
        </w:rPr>
        <w:t xml:space="preserve">(彭金隆)</w:t>
      </w:r>
      <w:r>
        <w:t xml:space="preserve"> personally sat in on June 3, along with Lin Hsi-sheng, Director-General of the Department of Financial Market Development and Innovation; Lin Chih-hsien, Director-General of the Legal Affairs Department; Tong Cheng-chang, Director-General of the Banking Bureau; Kao Ching-ping, Director-General of the Securities and Futures Bureau; and Lai Hsin-kuo, Director-General of the Examination Bureau. Although we had heated exchanges on Article 25 (approval vs. filing for record), Article 20 (time limit), and Article 47 (in-kind return), every exchange was</w:t>
      </w:r>
      <w:r>
        <w:t xml:space="preserve"> </w:t>
      </w:r>
      <w:r>
        <w:rPr>
          <w:b/>
          <w:bCs/>
        </w:rPr>
        <w:t xml:space="preserve">on the merits, grounded in legal reasoning and comparative law</w:t>
      </w:r>
      <w:r>
        <w:t xml:space="preserve">. There was no personal favor, no politics, no ideology. In Taiwan's current political climate, that is already very rare.</w:t>
      </w:r>
    </w:p>
    <w:p>
      <w:pPr>
        <w:pStyle w:val="BodyText"/>
      </w:pPr>
      <w:r>
        <w:rPr>
          <w:b/>
          <w:bCs/>
        </w:rPr>
        <w:t xml:space="preserve">Thanks to the Central Bank of the Republic of China (Taiwan).</w:t>
      </w:r>
      <w:r>
        <w:t xml:space="preserve"> </w:t>
      </w:r>
      <w:r>
        <w:t xml:space="preserve">Governor Yang Chin-Long </w:t>
      </w:r>
      <w:r>
        <w:rPr>
          <w:rFonts w:hint="eastAsia"/>
        </w:rPr>
        <w:t xml:space="preserve">(楊金龍)</w:t>
      </w:r>
      <w:r>
        <w:t xml:space="preserve"> was absent on official duty, so Deputy Governor Yan Tsung-Da </w:t>
      </w:r>
      <w:r>
        <w:rPr>
          <w:rFonts w:hint="eastAsia"/>
        </w:rPr>
        <w:t xml:space="preserve">(嚴宗大)</w:t>
      </w:r>
      <w:r>
        <w:t xml:space="preserve"> and Tsai Chiung-min, Director-General of the Foreign Exchange Department, represented the bank. In the consultations on stablecoins and cross-border payments, the Central Bank provided enormous technical detail and explained its position — the key to letting this Act strike a balance between "FinTech innovation" and "monetary sovereignty."</w:t>
      </w:r>
    </w:p>
    <w:p>
      <w:pPr>
        <w:pStyle w:val="BodyText"/>
      </w:pPr>
      <w:r>
        <w:rPr>
          <w:b/>
          <w:bCs/>
        </w:rPr>
        <w:t xml:space="preserve">Thanks to the Ministry of Justice, the Judicial Yuan, and the National Police Agency.</w:t>
      </w:r>
      <w:r>
        <w:t xml:space="preserve"> </w:t>
      </w:r>
      <w:r>
        <w:t xml:space="preserve">Liao Chiang-hsien, Counsellor at the Ministry of Justice; Wu Yuan-yao, Judge at the Criminal Division of the Judicial Yuan; and Lee Chia-chun, Section Chief at the Criminal Investigation Bureau, National Police Agency, Ministry of the Interior. The reason we could discuss the in-kind return of virtual assets to victims under Article 47 with this much depth is that these three agencies were willing to lay out, on the table, the actual difficulties of criminal prosecution and victim protection — including that Nokia 3310 metaphor that left such an impression on me.</w:t>
      </w:r>
    </w:p>
    <w:p>
      <w:pPr>
        <w:pStyle w:val="BodyText"/>
      </w:pPr>
      <w:r>
        <w:rPr>
          <w:b/>
          <w:bCs/>
        </w:rPr>
        <w:t xml:space="preserve">Thanks to the Ministry of Finance.</w:t>
      </w:r>
      <w:r>
        <w:t xml:space="preserve"> </w:t>
      </w:r>
      <w:r>
        <w:t xml:space="preserve">Minister Juang Tsuei-Yun </w:t>
      </w:r>
      <w:r>
        <w:rPr>
          <w:rFonts w:hint="eastAsia"/>
        </w:rPr>
        <w:t xml:space="preserve">(莊翠雲)</w:t>
      </w:r>
      <w:r>
        <w:t xml:space="preserve"> was absent, but Lee Hsing-fen, Section Chief at the National Treasury Administration, Ministry of Finance; Lai Chi-fu, Section Chief at the Taxation Administration; Lin Mei-hui, Senior Specialist; and Chiou Hsiao-wei, Senior Specialist, all attended on behalf of the Ministry of Finance throughout, allowing dialogue on the thorny question of "who governs the taxation of virtual assets." Even though this specific Act ultimately did not address taxation, that dialogue will continue into the next session.</w:t>
      </w:r>
    </w:p>
    <w:p>
      <w:pPr>
        <w:pStyle w:val="BodyText"/>
      </w:pPr>
      <w:r>
        <w:rPr>
          <w:b/>
          <w:bCs/>
        </w:rPr>
        <w:t xml:space="preserve">Thanks to the Criminal Affairs Department of the Ministry of Justice.</w:t>
      </w:r>
      <w:r>
        <w:t xml:space="preserve"> </w:t>
      </w:r>
      <w:r>
        <w:t xml:space="preserve">Their input on the Article 47 debate let me see the difficulty of stitching together three layers — the Code of Criminal Procedure, the contract law of the Civil Code, and the VASP Act — and ultimately led to the "legislative explanation plus supplementary resolution" fallback path.</w:t>
      </w:r>
    </w:p>
    <w:p>
      <w:pPr>
        <w:pStyle w:val="BodyText"/>
      </w:pPr>
      <w:r>
        <w:rPr>
          <w:b/>
          <w:bCs/>
        </w:rPr>
        <w:t xml:space="preserve">Thanks to industry.</w:t>
      </w:r>
      <w:r>
        <w:t xml:space="preserve"> </w:t>
      </w:r>
      <w:r>
        <w:t xml:space="preserve">The Taiwan Virtual Asset Trade Association, the various trading platforms and custodians, the Blockchain Enthusiasts Association, and others. From the 2024 AML amendments to this VASP legislation, we held more than 30 industry roundtables in total. Without the practical data and case studies provided by industry, I could not have written the 20-day cap in Article 20, the single-point-of-failure argument in Article 25, or the Silk Road / Bitcoin Queen examples in Article 47.</w:t>
      </w:r>
    </w:p>
    <w:p>
      <w:pPr>
        <w:pStyle w:val="BodyText"/>
      </w:pPr>
      <w:r>
        <w:rPr>
          <w:b/>
          <w:bCs/>
        </w:rPr>
        <w:t xml:space="preserve">Thanks to the co-signers.</w:t>
      </w:r>
      <w:r>
        <w:t xml:space="preserve"> </w:t>
      </w:r>
      <w:r>
        <w:t xml:space="preserve">Co-signatures from Su Ching-chuan, Hsu Yu-chen, and twenty other legislators let the KO version enter the procedural calendar on March 20.</w:t>
      </w:r>
      <w:r>
        <w:t xml:space="preserve"> </w:t>
      </w:r>
      <w:r>
        <w:rPr>
          <w:b/>
          <w:bCs/>
        </w:rPr>
        <w:t xml:space="preserve">Special thanks to Convener Li Yan-hsiu</w:t>
      </w:r>
      <w:r>
        <w:t xml:space="preserve"> </w:t>
      </w:r>
      <w:r>
        <w:t xml:space="preserve">— we had aligned positions on Article 12 (transition period for personnel) and Article 23 (record retention), and we covered for each other on the floor.</w:t>
      </w:r>
    </w:p>
    <w:p>
      <w:pPr>
        <w:pStyle w:val="BodyText"/>
      </w:pPr>
      <w:r>
        <w:rPr>
          <w:b/>
          <w:bCs/>
        </w:rPr>
        <w:t xml:space="preserve">Thanks to my office team.</w:t>
      </w:r>
      <w:r>
        <w:t xml:space="preserve"> </w:t>
      </w:r>
      <w:r>
        <w:t xml:space="preserve">The legal team, the policy research team, the communications team — three months of running the VASP project together with me. Without you translating MiCA, comparing Korean VAUPA, tracking GENIUS, and producing the 22-clause amendment comparison chart, I could not have cited comparative law on demand in 76 prepared speeches during the review.</w:t>
      </w:r>
    </w:p>
    <w:bookmarkEnd w:id="70"/>
    <w:bookmarkStart w:id="71" w:name="Xc1a8f0e4a3b55f7e9ce73034eea1218d6414492"/>
    <w:p>
      <w:pPr>
        <w:pStyle w:val="Heading3"/>
      </w:pPr>
      <w:r>
        <w:t xml:space="preserve">Reflections: What I wanted to do but did not</w:t>
      </w:r>
    </w:p>
    <w:p>
      <w:pPr>
        <w:pStyle w:val="FirstParagraph"/>
      </w:pPr>
      <w:r>
        <w:t xml:space="preserve">I do not want to pretend that this law is already perfect. A notebook written for the next ten years has to be honest.</w:t>
      </w:r>
    </w:p>
    <w:p>
      <w:pPr>
        <w:pStyle w:val="BodyText"/>
      </w:pPr>
      <w:r>
        <w:rPr>
          <w:b/>
          <w:bCs/>
        </w:rPr>
        <w:t xml:space="preserve">1. Derivatives postponed by a year</w:t>
      </w:r>
    </w:p>
    <w:p>
      <w:pPr>
        <w:pStyle w:val="BodyText"/>
      </w:pPr>
      <w:r>
        <w:t xml:space="preserve">Virtual asset futures, options, perpetuals, swaps, binaries, leverage, index-based derivatives — these are mature internationally, but Taiwan did not address them this time. I only secured supplementary resolutions (pages 7, 8-9) asking the FSC to draft secondary legislation within one year and propose a timetable within three months.</w:t>
      </w:r>
    </w:p>
    <w:p>
      <w:pPr>
        <w:pStyle w:val="BodyText"/>
      </w:pPr>
      <w:r>
        <w:t xml:space="preserve">🔴</w:t>
      </w:r>
      <w:r>
        <w:t xml:space="preserve"> </w:t>
      </w:r>
      <w:r>
        <w:rPr>
          <w:b/>
          <w:bCs/>
        </w:rPr>
        <w:t xml:space="preserve">I did not hold this one.</w:t>
      </w:r>
      <w:r>
        <w:t xml:space="preserve"> </w:t>
      </w:r>
      <w:r>
        <w:t xml:space="preserve">Next-phase battlefield.</w:t>
      </w:r>
    </w:p>
    <w:p>
      <w:pPr>
        <w:pStyle w:val="BodyText"/>
      </w:pPr>
      <w:r>
        <w:rPr>
          <w:b/>
          <w:bCs/>
        </w:rPr>
        <w:t xml:space="preserve">2. Taxation completely untouched</w:t>
      </w:r>
    </w:p>
    <w:p>
      <w:pPr>
        <w:pStyle w:val="BodyText"/>
      </w:pPr>
      <w:r>
        <w:t xml:space="preserve">Income tax on virtual assets (investment-type vs. trading-type), business tax (VASP services vs. intermediary fees), gift tax (on-chain P2P transfers), trust-related taxes — these are all real controversies. This Act</w:t>
      </w:r>
      <w:r>
        <w:t xml:space="preserve"> </w:t>
      </w:r>
      <w:r>
        <w:rPr>
          <w:b/>
          <w:bCs/>
        </w:rPr>
        <w:t xml:space="preserve">did not touch them at all.</w:t>
      </w:r>
    </w:p>
    <w:p>
      <w:pPr>
        <w:pStyle w:val="BodyText"/>
      </w:pPr>
      <w:r>
        <w:t xml:space="preserve">I discussed this with Legislator Su Chih-fen and Legislator Chen Yu-chen, but tax law is the Ministry of Finance's portfolio, not the FSC's. The cross-agency coordination cost is too high, so we decided to set this aside for now. In the next phase I will push for a</w:t>
      </w:r>
      <w:r>
        <w:t xml:space="preserve"> </w:t>
      </w:r>
      <w:r>
        <w:rPr>
          <w:b/>
          <w:bCs/>
        </w:rPr>
        <w:t xml:space="preserve">"Virtual Asset Taxation Project."</w:t>
      </w:r>
    </w:p>
    <w:p>
      <w:pPr>
        <w:pStyle w:val="BodyText"/>
      </w:pPr>
      <w:r>
        <w:rPr>
          <w:b/>
          <w:bCs/>
        </w:rPr>
        <w:t xml:space="preserve">3. Insufficient depth in customer education</w:t>
      </w:r>
    </w:p>
    <w:p>
      <w:pPr>
        <w:pStyle w:val="BodyText"/>
      </w:pPr>
      <w:r>
        <w:t xml:space="preserve">Article 33's extension of education and outreach to the public is a good thing, but the trade association itself is also made up of operators, so</w:t>
      </w:r>
      <w:r>
        <w:t xml:space="preserve"> </w:t>
      </w:r>
      <w:r>
        <w:rPr>
          <w:b/>
          <w:bCs/>
        </w:rPr>
        <w:t xml:space="preserve">letting operators educate the public</w:t>
      </w:r>
      <w:r>
        <w:t xml:space="preserve"> </w:t>
      </w:r>
      <w:r>
        <w:t xml:space="preserve">has a structural conflict of interest.</w:t>
      </w:r>
    </w:p>
    <w:p>
      <w:pPr>
        <w:pStyle w:val="BodyText"/>
      </w:pPr>
      <w:r>
        <w:t xml:space="preserve">In the future I hope to push for an</w:t>
      </w:r>
      <w:r>
        <w:t xml:space="preserve"> </w:t>
      </w:r>
      <w:r>
        <w:rPr>
          <w:b/>
          <w:bCs/>
        </w:rPr>
        <w:t xml:space="preserve">"independent virtual asset investor education institution"</w:t>
      </w:r>
      <w:r>
        <w:t xml:space="preserve"> </w:t>
      </w:r>
      <w:r>
        <w:t xml:space="preserve">(similar to the Taiwan Stock Exchange's Investor Education Center) co-governed by the FSC, the trade association, and consumer protection groups.</w:t>
      </w:r>
    </w:p>
    <w:p>
      <w:pPr>
        <w:pStyle w:val="BodyText"/>
      </w:pPr>
      <w:r>
        <w:rPr>
          <w:b/>
          <w:bCs/>
        </w:rPr>
        <w:t xml:space="preserve">4. DeFi, self-custody wallets, and NFTs not addressed</w:t>
      </w:r>
    </w:p>
    <w:p>
      <w:pPr>
        <w:pStyle w:val="BodyText"/>
      </w:pPr>
      <w:r>
        <w:t xml:space="preserve">The Article 3 definition of "virtual asset" in this Act specifically excludes</w:t>
      </w:r>
      <w:r>
        <w:t xml:space="preserve"> </w:t>
      </w:r>
      <w:r>
        <w:rPr>
          <w:b/>
          <w:bCs/>
        </w:rPr>
        <w:t xml:space="preserve">non-custodial wallets</w:t>
      </w:r>
      <w:r>
        <w:t xml:space="preserve"> </w:t>
      </w:r>
      <w:r>
        <w:t xml:space="preserve">and</w:t>
      </w:r>
      <w:r>
        <w:t xml:space="preserve"> </w:t>
      </w:r>
      <w:r>
        <w:rPr>
          <w:b/>
          <w:bCs/>
        </w:rPr>
        <w:t xml:space="preserve">user-to-user direct exchange</w:t>
      </w:r>
      <w:r>
        <w:t xml:space="preserve">. DeFi, NFTs, DAOs — these Web3-native scenarios are</w:t>
      </w:r>
      <w:r>
        <w:t xml:space="preserve"> </w:t>
      </w:r>
      <w:r>
        <w:rPr>
          <w:b/>
          <w:bCs/>
        </w:rPr>
        <w:t xml:space="preserve">not within this Act's jurisdiction</w:t>
      </w:r>
      <w:r>
        <w:t xml:space="preserve">.</w:t>
      </w:r>
    </w:p>
    <w:p>
      <w:pPr>
        <w:pStyle w:val="BodyText"/>
      </w:pPr>
      <w:r>
        <w:t xml:space="preserve">This was deliberate — we built the "centralized VASP" main line first. But future supervisory frameworks for DeFi and NFTs will require additional legislation or amendments.</w:t>
      </w:r>
      <w:r>
        <w:t xml:space="preserve"> </w:t>
      </w:r>
      <w:r>
        <w:rPr>
          <w:b/>
          <w:bCs/>
        </w:rPr>
        <w:t xml:space="preserve">This is my promise to the Web3 community: I have not forgotten your issues.</w:t>
      </w:r>
    </w:p>
    <w:p>
      <w:pPr>
        <w:pStyle w:val="BodyText"/>
      </w:pPr>
      <w:r>
        <w:rPr>
          <w:b/>
          <w:bCs/>
        </w:rPr>
        <w:t xml:space="preserve">5. Coordination with the AI Basic Act</w:t>
      </w:r>
    </w:p>
    <w:p>
      <w:pPr>
        <w:pStyle w:val="BodyText"/>
      </w:pPr>
      <w:r>
        <w:t xml:space="preserve">The Artificial Intelligence Basic Act, passed on December 23, 2025, is a development-oriented basic law (under the National Science and Technology Council). This VASP Act is a supervision-oriented industry law (under the FSC). Where do they intersect?</w:t>
      </w:r>
    </w:p>
    <w:p>
      <w:pPr>
        <w:pStyle w:val="BodyText"/>
      </w:pPr>
      <w:r>
        <w:t xml:space="preserve">AI-driven algorithmic trading, AI fraud detection, AI smart contract auditing, AI robo-advisors — all of these will fall in the gray zone between the two statutes. I hope, during the second and third readings, to work with the AI Basic Act's competent authority (the NSTC) to establish a coordination mechanism for "</w:t>
      </w:r>
      <w:r>
        <w:rPr>
          <w:b/>
          <w:bCs/>
        </w:rPr>
        <w:t xml:space="preserve">AI × Finance</w:t>
      </w:r>
      <w:r>
        <w:t xml:space="preserve">."</w:t>
      </w:r>
    </w:p>
    <w:bookmarkEnd w:id="71"/>
    <w:bookmarkStart w:id="72" w:name="Xd358c808bcd6649911404a639364bdd7c7b55e8"/>
    <w:p>
      <w:pPr>
        <w:pStyle w:val="Heading3"/>
      </w:pPr>
      <w:r>
        <w:t xml:space="preserve">The future: second reading, third reading, secondary legislation, enforcement</w:t>
      </w:r>
    </w:p>
    <w:p>
      <w:pPr>
        <w:pStyle w:val="FirstParagraph"/>
      </w:pPr>
      <w:r>
        <w:t xml:space="preserve">This law has only completed one third of its journey.</w:t>
      </w:r>
    </w:p>
    <w:p>
      <w:pPr>
        <w:pStyle w:val="BodyText"/>
      </w:pPr>
      <w:r>
        <w:rPr>
          <w:b/>
          <w:bCs/>
        </w:rPr>
        <w:t xml:space="preserve">Second reading</w:t>
      </w:r>
      <w:r>
        <w:t xml:space="preserve">: under the procedures of the Legislative Yuan, this Act will move to a second reading in the plenary.</w:t>
      </w:r>
      <w:r>
        <w:t xml:space="preserve"> </w:t>
      </w:r>
      <w:r>
        <w:rPr>
          <w:b/>
          <w:bCs/>
        </w:rPr>
        <w:t xml:space="preserve">Because the Finance Committee on June 3 reached a joint resolution that no further inter-party negotiation is required</w:t>
      </w:r>
      <w:r>
        <w:t xml:space="preserve">, the bill will be</w:t>
      </w:r>
      <w:r>
        <w:t xml:space="preserve"> </w:t>
      </w:r>
      <w:r>
        <w:rPr>
          <w:b/>
          <w:bCs/>
        </w:rPr>
        <w:t xml:space="preserve">transmitted directly to the second reading</w:t>
      </w:r>
      <w:r>
        <w:t xml:space="preserve">. Compared with the usual path (a minimum one-month wait for negotiation, plus another month if negotiation breaks down before a floor vote), the third-reading timeline has been advanced by roughly one to two months. There may be some detailed wording adjustments, but the architecture passed on June 3 should not change substantially.</w:t>
      </w:r>
    </w:p>
    <w:p>
      <w:pPr>
        <w:pStyle w:val="BodyText"/>
      </w:pPr>
      <w:r>
        <w:rPr>
          <w:b/>
          <w:bCs/>
        </w:rPr>
        <w:t xml:space="preserve">Third reading</w:t>
      </w:r>
      <w:r>
        <w:t xml:space="preserve">: I expect this to be completed within the current legislative session, no later than</w:t>
      </w:r>
      <w:r>
        <w:t xml:space="preserve"> </w:t>
      </w:r>
      <w:r>
        <w:rPr>
          <w:b/>
          <w:bCs/>
        </w:rPr>
        <w:t xml:space="preserve">August 31, 2026</w:t>
      </w:r>
      <w:r>
        <w:t xml:space="preserve">. After the third reading, the Executive Yuan will promulgate it — under Article 56, the law takes effect on the date of promulgation (no deferred implementation clause).</w:t>
      </w:r>
    </w:p>
    <w:p>
      <w:pPr>
        <w:pStyle w:val="BodyText"/>
      </w:pPr>
      <w:r>
        <w:rPr>
          <w:b/>
          <w:bCs/>
        </w:rPr>
        <w:t xml:space="preserve">Secondary legislation</w:t>
      </w:r>
      <w:r>
        <w:t xml:space="preserve">: this Act contains a large number of clauses delegating to secondary legislation (Articles 6, 7, 8, 11, 12, 13, 15, 17, 19, 20, 23, 25, 26, 28, 29, 30, 31, 32, 35, 36, 37, 38, 43, 45, 56, etc.). Articles with delegations alone come close to 25, and each carries one to three pieces of secondary legislation behind it.</w:t>
      </w:r>
      <w:r>
        <w:t xml:space="preserve"> </w:t>
      </w:r>
      <w:r>
        <w:rPr>
          <w:b/>
          <w:bCs/>
        </w:rPr>
        <w:t xml:space="preserve">This is the FSC's primary battleground over the coming 12 to 24 months.</w:t>
      </w:r>
      <w:r>
        <w:t xml:space="preserve"> </w:t>
      </w:r>
      <w:r>
        <w:t xml:space="preserve">I will be tracking each draft to make sure the</w:t>
      </w:r>
      <w:r>
        <w:t xml:space="preserve"> </w:t>
      </w:r>
      <w:r>
        <w:rPr>
          <w:b/>
          <w:bCs/>
        </w:rPr>
        <w:t xml:space="preserve">"spirit of the supplementary resolutions actually gets written in."</w:t>
      </w:r>
    </w:p>
    <w:p>
      <w:pPr>
        <w:pStyle w:val="BodyText"/>
      </w:pPr>
      <w:r>
        <w:rPr>
          <w:b/>
          <w:bCs/>
        </w:rPr>
        <w:t xml:space="preserve">First license</w:t>
      </w:r>
      <w:r>
        <w:t xml:space="preserve">: Article 55 sets the</w:t>
      </w:r>
      <w:r>
        <w:t xml:space="preserve"> </w:t>
      </w:r>
      <w:r>
        <w:rPr>
          <w:i/>
          <w:iCs/>
        </w:rPr>
        <w:t xml:space="preserve">outer</w:t>
      </w:r>
      <w:r>
        <w:t xml:space="preserve"> </w:t>
      </w:r>
      <w:r>
        <w:t xml:space="preserve">limits — applications must be filed within 12 months and licenses obtained within 21 months of entry into force. But these are statutory ceilings, not predictions. Actual licensing depends on how quickly the FSC publishes the implementing regulations: capital requirements, operating bonds, qualifications of responsible persons, internal control and audit standards, listing/delisting review procedures, stablecoin sub-rules, and so on — the</w:t>
      </w:r>
      <w:r>
        <w:t xml:space="preserve"> </w:t>
      </w:r>
      <w:r>
        <w:rPr>
          <w:b/>
          <w:bCs/>
        </w:rPr>
        <w:t xml:space="preserve">full set of orders and notices</w:t>
      </w:r>
      <w:r>
        <w:t xml:space="preserve"> </w:t>
      </w:r>
      <w:r>
        <w:t xml:space="preserve">must be in place before applications can be accepted. That process is not trivial. So</w:t>
      </w:r>
      <w:r>
        <w:t xml:space="preserve"> </w:t>
      </w:r>
      <w:r>
        <w:rPr>
          <w:b/>
          <w:bCs/>
        </w:rPr>
        <w:t xml:space="preserve">the exact timing of Taiwan's first VASP license is not something I want to rush</w:t>
      </w:r>
      <w:r>
        <w:t xml:space="preserve"> </w:t>
      </w:r>
      <w:r>
        <w:t xml:space="preserve">— letting the secondary legislation be carefully debated and giving the industry adequate time to prepare matters more than racing to issue a license. Who will be first? I will be watching.</w:t>
      </w:r>
    </w:p>
    <w:p>
      <w:pPr>
        <w:pStyle w:val="BodyText"/>
      </w:pPr>
      <w:r>
        <w:rPr>
          <w:b/>
          <w:bCs/>
        </w:rPr>
        <w:t xml:space="preserve">First enforcement action</w:t>
      </w:r>
      <w:r>
        <w:t xml:space="preserve">: the first enforcement actions under Article 42 (market manipulation) and Article 47 (criminal liability) will be the</w:t>
      </w:r>
      <w:r>
        <w:t xml:space="preserve"> </w:t>
      </w:r>
      <w:r>
        <w:rPr>
          <w:b/>
          <w:bCs/>
        </w:rPr>
        <w:t xml:space="preserve">stress test</w:t>
      </w:r>
      <w:r>
        <w:t xml:space="preserve"> </w:t>
      </w:r>
      <w:r>
        <w:t xml:space="preserve">of this Act. I hope the first enforcement is not too bloody (I worry that excessive enforcement will scare operators away), but it also cannot be too gentle (over-tolerance harms investors).</w:t>
      </w:r>
      <w:r>
        <w:t xml:space="preserve"> </w:t>
      </w:r>
      <w:r>
        <w:rPr>
          <w:b/>
          <w:bCs/>
        </w:rPr>
        <w:t xml:space="preserve">This is a test of wisdom for the FSC, the prosecutors, and the courts.</w:t>
      </w:r>
    </w:p>
    <w:p>
      <w:pPr>
        <w:pStyle w:val="BodyText"/>
      </w:pPr>
      <w:r>
        <w:rPr>
          <w:b/>
          <w:bCs/>
        </w:rPr>
        <w:t xml:space="preserve">First compensation case</w:t>
      </w:r>
      <w:r>
        <w:t xml:space="preserve">: based on Article 27 (custodian liability), Article 42, Paragraph 5 (damages), and Article 47, Paragraph 5 (return of criminal proceeds) — when the first victim invokes these clauses to seek compensation, how will Taiwan's courts interpret them? That is the judiciary's homework.</w:t>
      </w:r>
    </w:p>
    <w:p>
      <w:r>
        <w:pict>
          <v:rect style="width:0;height:1.5pt" o:hralign="center" o:hrstd="t" o:hr="t"/>
        </w:pict>
      </w:r>
    </w:p>
    <w:bookmarkEnd w:id="72"/>
    <w:bookmarkEnd w:id="73"/>
    <w:bookmarkStart w:id="74" w:name="X3797f09bdc9174f9386f4c771d17ea1e1cd4348"/>
    <w:p>
      <w:pPr>
        <w:pStyle w:val="Heading2"/>
      </w:pPr>
      <w:r>
        <w:t xml:space="preserve">Conclusion: A Letter to the Taiwan of 2036</w:t>
      </w:r>
    </w:p>
    <w:p>
      <w:pPr>
        <w:pStyle w:val="FirstParagraph"/>
      </w:pPr>
      <w:r>
        <w:t xml:space="preserve">If one day my grandchild asks me, "Grandpa, why did you spend so much energy writing a law?"</w:t>
      </w:r>
    </w:p>
    <w:p>
      <w:pPr>
        <w:pStyle w:val="BodyText"/>
      </w:pPr>
      <w:r>
        <w:t xml:space="preserve">I would answer this way.</w:t>
      </w:r>
    </w:p>
    <w:p>
      <w:pPr>
        <w:pStyle w:val="BodyText"/>
      </w:pPr>
      <w:r>
        <w:t xml:space="preserve">Law is a mirror of technological civilization. When we put a new technology — blockchain, virtual assets, smart contracts — into a legislative frame, we are actually asking ourselves a deeper question:</w:t>
      </w:r>
      <w:r>
        <w:t xml:space="preserve"> </w:t>
      </w:r>
      <w:r>
        <w:rPr>
          <w:b/>
          <w:bCs/>
        </w:rPr>
        <w:t xml:space="preserve">what kind of new things is this society willing to accept? And what kind of old habits is it not willing to keep?</w:t>
      </w:r>
    </w:p>
    <w:p>
      <w:pPr>
        <w:pStyle w:val="BodyText"/>
      </w:pPr>
      <w:r>
        <w:t xml:space="preserve">The VASP Act does not "legalize" virtual assets — virtual assets were already here, from the moment of the 2009 Bitcoin Genesis Block. The VASP Act lets "</w:t>
      </w:r>
      <w:r>
        <w:rPr>
          <w:b/>
          <w:bCs/>
        </w:rPr>
        <w:t xml:space="preserve">the legal language of Taiwanese society</w:t>
      </w:r>
      <w:r>
        <w:t xml:space="preserve">" finally have the capacity to describe, regulate, and protect this thing that has been flowing in front of our eyes for over a decade.</w:t>
      </w:r>
    </w:p>
    <w:p>
      <w:pPr>
        <w:pStyle w:val="BodyText"/>
      </w:pPr>
      <w:r>
        <w:t xml:space="preserve">I hope the Taiwan of 2036 has a healthy virtual asset trading market, a responsible stablecoin issuance regime, a community of high-caliber FinTech talent, a victim-protection mechanism with warmth, and a digital finance regulator that the international community respects.</w:t>
      </w:r>
    </w:p>
    <w:p>
      <w:pPr>
        <w:pStyle w:val="BodyText"/>
      </w:pPr>
      <w:r>
        <w:t xml:space="preserve">I hope the me of 2036, looking back at June 3, 2026, can say: "</w:t>
      </w:r>
      <w:r>
        <w:rPr>
          <w:b/>
          <w:bCs/>
        </w:rPr>
        <w:t xml:space="preserve">The law that passed that day became one of the pillars of Taiwan's digital finance.</w:t>
      </w:r>
      <w:r>
        <w:t xml:space="preserve">"</w:t>
      </w:r>
    </w:p>
    <w:p>
      <w:pPr>
        <w:pStyle w:val="BodyText"/>
      </w:pPr>
      <w:r>
        <w:t xml:space="preserve">I hope the virtual asset industry of 2036 will no longer say "</w:t>
      </w:r>
      <w:r>
        <w:rPr>
          <w:b/>
          <w:bCs/>
        </w:rPr>
        <w:t xml:space="preserve">Taiwan is a regulatory gray zone</w:t>
      </w:r>
      <w:r>
        <w:t xml:space="preserve">," but will say "</w:t>
      </w:r>
      <w:r>
        <w:rPr>
          <w:b/>
          <w:bCs/>
        </w:rPr>
        <w:t xml:space="preserve">Taiwan is the most pragmatic virtual asset governance leader in the Asia-Pacific.</w:t>
      </w:r>
      <w:r>
        <w:t xml:space="preserve">"</w:t>
      </w:r>
    </w:p>
    <w:p>
      <w:pPr>
        <w:pStyle w:val="BodyText"/>
      </w:pPr>
      <w:r>
        <w:t xml:space="preserve">That is the original intent behind this law, and the purpose of this notebook.</w:t>
      </w:r>
    </w:p>
    <w:p>
      <w:pPr>
        <w:pStyle w:val="BodyText"/>
      </w:pPr>
      <w:r>
        <w:t xml:space="preserve">If you are a young person reading this in 2036, considering whether to enter the virtual asset industry, hesitating about whether to believe that digital finance can change anything — I want you to see how much preparation, how much debate, how much compromise, and how much honesty we in 2026 put in to push these 56 clauses and 15 supplementary resolutions to the next page of history.</w:t>
      </w:r>
    </w:p>
    <w:p>
      <w:pPr>
        <w:pStyle w:val="BlockText"/>
      </w:pPr>
      <w:r>
        <w:t xml:space="preserve">"Bitcoin is not just an asset. It is the 21st century's national financial sovereignty defense battle."</w:t>
      </w:r>
      <w:r>
        <w:t xml:space="preserve"> </w:t>
      </w:r>
      <w:r>
        <w:t xml:space="preserve">— I have said this in many places, and I will say it again today.</w:t>
      </w:r>
    </w:p>
    <w:p>
      <w:pPr>
        <w:pStyle w:val="FirstParagraph"/>
      </w:pPr>
      <w:r>
        <w:t xml:space="preserve">Taiwan's financial sovereignty defense battle — this VASP Act is only one outpost engagement. Behind it are still CBDC, RWA, cross-chain payments, decentralized identity, and quantum-safe cryptography. Each one will be harder, and each one will matter more.</w:t>
      </w:r>
    </w:p>
    <w:p>
      <w:pPr>
        <w:pStyle w:val="BodyText"/>
      </w:pPr>
      <w:r>
        <w:rPr>
          <w:b/>
          <w:bCs/>
        </w:rPr>
        <w:t xml:space="preserve">But for today, let us finish this one battle.</w:t>
      </w:r>
    </w:p>
    <w:p>
      <w:pPr>
        <w:pStyle w:val="BodyText"/>
      </w:pPr>
      <w:r>
        <w:t xml:space="preserve">Thank you for reading this far.</w:t>
      </w:r>
    </w:p>
    <w:p>
      <w:pPr>
        <w:pStyle w:val="BodyText"/>
      </w:pPr>
      <w:r>
        <w:t xml:space="preserve">KO Ju-Chun (BaoBo)</w:t>
      </w:r>
      <w:r>
        <w:t xml:space="preserve"> </w:t>
      </w:r>
      <w:r>
        <w:t xml:space="preserve">June 9, 2026, at the Legislative Yuan office, Taipei</w:t>
      </w:r>
    </w:p>
    <w:p>
      <w:r>
        <w:pict>
          <v:rect style="width:0;height:1.5pt" o:hralign="center" o:hrstd="t" o:hr="t"/>
        </w:pict>
      </w:r>
    </w:p>
    <w:bookmarkEnd w:id="74"/>
    <w:bookmarkStart w:id="75" w:name="appendix-a-legislative-timeline"/>
    <w:p>
      <w:pPr>
        <w:pStyle w:val="Heading2"/>
      </w:pPr>
      <w:r>
        <w:t xml:space="preserve">Appendix A: Legislative Timeline</w:t>
      </w:r>
    </w:p>
    <w:p>
      <w:pPr>
        <w:pStyle w:val="SourceCode"/>
      </w:pPr>
      <w:r>
        <w:rPr>
          <w:rStyle w:val="VerbatimChar"/>
        </w:rPr>
        <w:t xml:space="preserve">2024-02      KO Ju-Chun sworn in as legislator</w:t>
      </w:r>
      <w:r>
        <w:br/>
      </w:r>
      <w:r>
        <w:rPr>
          <w:rStyle w:val="VerbatimChar"/>
        </w:rPr>
        <w:t xml:space="preserve">2024-04      Emerging Technology Parliamentary Exchange Association (ETEA) founded</w:t>
      </w:r>
      <w:r>
        <w:br/>
      </w:r>
      <w:r>
        <w:rPr>
          <w:rStyle w:val="VerbatimChar"/>
        </w:rPr>
        <w:t xml:space="preserve">2024-11-30   FSC's "Regulations on AML Registration for Enterprises Handling Virtual Asset Services" take effect</w:t>
      </w:r>
      <w:r>
        <w:br/>
      </w:r>
      <w:r>
        <w:rPr>
          <w:rStyle w:val="VerbatimChar"/>
        </w:rPr>
        <w:t xml:space="preserve">2025-12-23   AI Basic Act passes third reading (KO Ju-Chun as principal proposer)</w:t>
      </w:r>
      <w:r>
        <w:br/>
      </w:r>
      <w:r>
        <w:rPr>
          <w:rStyle w:val="VerbatimChar"/>
        </w:rPr>
        <w:t xml:space="preserve">2026-02      KO Ju-Chun becomes Finance Committee convener; VASP legislation begins</w:t>
      </w:r>
      <w:r>
        <w:br/>
      </w:r>
      <w:r>
        <w:rPr>
          <w:rStyle w:val="VerbatimChar"/>
        </w:rPr>
        <w:t xml:space="preserve">2026-02—03   KO version drafted; 20+ industry roundtables held</w:t>
      </w:r>
      <w:r>
        <w:br/>
      </w:r>
      <w:r>
        <w:rPr>
          <w:rStyle w:val="VerbatimChar"/>
        </w:rPr>
        <w:t xml:space="preserve">2026-03-20   KO Ju-Chun introduces 53-clause Virtual Asset Services Act draft (co-signed by Su Ching-chuan, Hsu Yu-chen, and 20 others)</w:t>
      </w:r>
      <w:r>
        <w:br/>
      </w:r>
      <w:r>
        <w:rPr>
          <w:rStyle w:val="VerbatimChar"/>
        </w:rPr>
        <w:t xml:space="preserve">2026-04-02   Executive Yuan passes the 55-clause version</w:t>
      </w:r>
      <w:r>
        <w:br/>
      </w:r>
      <w:r>
        <w:rPr>
          <w:rStyle w:val="VerbatimChar"/>
        </w:rPr>
        <w:t xml:space="preserve">2026-04-15   Executive Yuan transmits the bill to the Legislative Yuan</w:t>
      </w:r>
      <w:r>
        <w:br/>
      </w:r>
      <w:r>
        <w:rPr>
          <w:rStyle w:val="VerbatimChar"/>
        </w:rPr>
        <w:t xml:space="preserve">2026-04-28   KO Ju-Chun raises the issue during general interpellation; Premier Cho Jung-tai commits to "strengthening supervisory personnel for virtual assets"</w:t>
      </w:r>
      <w:r>
        <w:br/>
      </w:r>
      <w:r>
        <w:rPr>
          <w:rStyle w:val="VerbatimChar"/>
        </w:rPr>
        <w:t xml:space="preserve">2026-05-06   First Finance Committee review session</w:t>
      </w:r>
      <w:r>
        <w:br/>
      </w:r>
      <w:r>
        <w:rPr>
          <w:rStyle w:val="VerbatimChar"/>
        </w:rPr>
        <w:t xml:space="preserve">2026-05-13   Second Finance Committee review session</w:t>
      </w:r>
      <w:r>
        <w:br/>
      </w:r>
      <w:r>
        <w:rPr>
          <w:rStyle w:val="VerbatimChar"/>
        </w:rPr>
        <w:t xml:space="preserve">2026-05-16   Third Finance Committee review session (agency negotiation)</w:t>
      </w:r>
      <w:r>
        <w:br/>
      </w:r>
      <w:r>
        <w:rPr>
          <w:rStyle w:val="VerbatimChar"/>
        </w:rPr>
        <w:t xml:space="preserve">2026-06-03   Finance Committee passes the 56-clause Virtual Asset Services Act draft plus 15 supplementary resolutions</w:t>
      </w:r>
      <w:r>
        <w:br/>
      </w:r>
      <w:r>
        <w:rPr>
          <w:rStyle w:val="VerbatimChar"/>
        </w:rPr>
        <w:t xml:space="preserve">2026-06-09   KO Ju-Chun publishes this legislative notebook</w:t>
      </w:r>
      <w:r>
        <w:br/>
      </w:r>
      <w:r>
        <w:rPr>
          <w:rStyle w:val="VerbatimChar"/>
        </w:rPr>
        <w:t xml:space="preserve">2026-06-03   Joint resolution: no further inter-party negotiation required.</w:t>
      </w:r>
      <w:r>
        <w:br/>
      </w:r>
      <w:r>
        <w:rPr>
          <w:rStyle w:val="VerbatimChar"/>
        </w:rPr>
        <w:t xml:space="preserve">             Direct transmission to second reading.</w:t>
      </w:r>
      <w:r>
        <w:br/>
      </w:r>
      <w:r>
        <w:rPr>
          <w:rStyle w:val="VerbatimChar"/>
        </w:rPr>
        <w:t xml:space="preserve">             — Timeline advanced by ~1–2 months vs. the negotiation path</w:t>
      </w:r>
      <w:r>
        <w:br/>
      </w:r>
      <w:r>
        <w:rPr>
          <w:rStyle w:val="VerbatimChar"/>
        </w:rPr>
        <w:t xml:space="preserve">             — Concrete result of extensive prior coordination among</w:t>
      </w:r>
      <w:r>
        <w:br/>
      </w:r>
      <w:r>
        <w:rPr>
          <w:rStyle w:val="VerbatimChar"/>
        </w:rPr>
        <w:t xml:space="preserve">               convener, members, Executive Yuan and FSC</w:t>
      </w:r>
      <w:r>
        <w:br/>
      </w:r>
      <w:r>
        <w:rPr>
          <w:rStyle w:val="VerbatimChar"/>
        </w:rPr>
        <w:t xml:space="preserve">2026-08-31   Second and third readings expected, before end of current session</w:t>
      </w:r>
      <w:r>
        <w:br/>
      </w:r>
      <w:r>
        <w:rPr>
          <w:rStyle w:val="VerbatimChar"/>
        </w:rPr>
        <w:t xml:space="preserve">2027-Q1—Q2   Secondary legislation expected to roll out</w:t>
      </w:r>
      <w:r>
        <w:br/>
      </w:r>
      <w:r>
        <w:rPr>
          <w:rStyle w:val="VerbatimChar"/>
        </w:rPr>
        <w:t xml:space="preserve">TBD          First VASP license (timing depends on FSC's secondary legislation; should not be rushed)</w:t>
      </w:r>
      <w:r>
        <w:br/>
      </w:r>
      <w:r>
        <w:rPr>
          <w:rStyle w:val="VerbatimChar"/>
        </w:rPr>
        <w:t xml:space="preserve">Early 2028   Most existing operators expected to complete licensing (per Article 55's 12 + 21 + 3 months schedule)</w:t>
      </w:r>
    </w:p>
    <w:bookmarkEnd w:id="75"/>
    <w:bookmarkStart w:id="76" w:name="appendix-b-influence-rating-summary"/>
    <w:p>
      <w:pPr>
        <w:pStyle w:val="Heading2"/>
      </w:pPr>
      <w:r>
        <w:t xml:space="preserve">Appendix B: Influence-Rating Summary</w:t>
      </w:r>
    </w:p>
    <w:p>
      <w:pPr>
        <w:pStyle w:val="FirstParagraph"/>
      </w:pPr>
      <w:r>
        <w:t xml:space="preserve">Final outcomes of the 22 amendment proposals: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Article</w:t>
            </w:r>
          </w:p>
        </w:tc>
        <w:tc>
          <w:tcPr/>
          <w:p>
            <w:pPr>
              <w:pStyle w:val="Compact"/>
            </w:pPr>
            <w:r>
              <w:t xml:space="preserve">Issue</w:t>
            </w:r>
          </w:p>
        </w:tc>
        <w:tc>
          <w:tcPr/>
          <w:p>
            <w:pPr>
              <w:pStyle w:val="Compact"/>
            </w:pPr>
            <w:r>
              <w:t xml:space="preserve">Rating</w:t>
            </w:r>
          </w:p>
        </w:tc>
        <w:tc>
          <w:tcPr/>
          <w:p>
            <w:pPr>
              <w:pStyle w:val="Compact"/>
            </w:pPr>
            <w:r>
              <w:t xml:space="preserve">Notes</w:t>
            </w:r>
          </w:p>
        </w:tc>
      </w:tr>
      <w:tr>
        <w:tc>
          <w:tcPr/>
          <w:p>
            <w:pPr>
              <w:pStyle w:val="Compact"/>
            </w:pPr>
            <w:r>
              <w:t xml:space="preserve">Art. 2</w:t>
            </w:r>
          </w:p>
        </w:tc>
        <w:tc>
          <w:tcPr/>
          <w:p>
            <w:pPr>
              <w:pStyle w:val="Compact"/>
            </w:pPr>
            <w:r>
              <w:t xml:space="preserve">Dedicated unit at competent authority</w:t>
            </w:r>
          </w:p>
        </w:tc>
        <w:tc>
          <w:tcPr/>
          <w:p>
            <w:pPr>
              <w:pStyle w:val="Compact"/>
            </w:pPr>
            <w:r>
              <w:t xml:space="preserve">🟡💬</w:t>
            </w:r>
          </w:p>
        </w:tc>
        <w:tc>
          <w:tcPr/>
          <w:p>
            <w:pPr>
              <w:pStyle w:val="Compact"/>
            </w:pPr>
            <w:r>
              <w:t xml:space="preserve">Clause not adopted; supplementary resolution (page-11) adopted</w:t>
            </w:r>
          </w:p>
        </w:tc>
      </w:tr>
      <w:tr>
        <w:tc>
          <w:tcPr/>
          <w:p>
            <w:pPr>
              <w:pStyle w:val="Compact"/>
            </w:pPr>
            <w:r>
              <w:t xml:space="preserve">Art. 7</w:t>
            </w:r>
          </w:p>
        </w:tc>
        <w:tc>
          <w:tcPr/>
          <w:p>
            <w:pPr>
              <w:pStyle w:val="Compact"/>
            </w:pPr>
            <w:r>
              <w:t xml:space="preserve">License proviso</w:t>
            </w:r>
          </w:p>
        </w:tc>
        <w:tc>
          <w:tcPr/>
          <w:p>
            <w:pPr>
              <w:pStyle w:val="Compact"/>
            </w:pPr>
            <w:r>
              <w:t xml:space="preserve">🟢</w:t>
            </w:r>
          </w:p>
        </w:tc>
        <w:tc>
          <w:tcPr/>
          <w:p>
            <w:pPr>
              <w:pStyle w:val="Compact"/>
            </w:pPr>
            <w:r>
              <w:t xml:space="preserve">"Except as otherwise provided by the competent authority" adopted</w:t>
            </w:r>
          </w:p>
        </w:tc>
      </w:tr>
      <w:tr>
        <w:tc>
          <w:tcPr/>
          <w:p>
            <w:pPr>
              <w:pStyle w:val="Compact"/>
            </w:pPr>
            <w:r>
              <w:t xml:space="preserve">Art. 8</w:t>
            </w:r>
          </w:p>
        </w:tc>
        <w:tc>
          <w:tcPr/>
          <w:p>
            <w:pPr>
              <w:pStyle w:val="Compact"/>
            </w:pPr>
            <w:r>
              <w:t xml:space="preserve">Scope-of-business proviso</w:t>
            </w:r>
          </w:p>
        </w:tc>
        <w:tc>
          <w:tcPr/>
          <w:p>
            <w:pPr>
              <w:pStyle w:val="Compact"/>
            </w:pPr>
            <w:r>
              <w:t xml:space="preserve">🟢</w:t>
            </w:r>
          </w:p>
        </w:tc>
        <w:tc>
          <w:tcPr/>
          <w:p>
            <w:pPr>
              <w:pStyle w:val="Compact"/>
            </w:pPr>
            <w:r>
              <w:t xml:space="preserve">"Except as otherwise provided by the competent authority" adopted</w:t>
            </w:r>
          </w:p>
        </w:tc>
      </w:tr>
      <w:tr>
        <w:tc>
          <w:tcPr/>
          <w:p>
            <w:pPr>
              <w:pStyle w:val="Compact"/>
            </w:pPr>
            <w:r>
              <w:t xml:space="preserve">Art. 11</w:t>
            </w:r>
          </w:p>
        </w:tc>
        <w:tc>
          <w:tcPr/>
          <w:p>
            <w:pPr>
              <w:pStyle w:val="Compact"/>
            </w:pPr>
            <w:r>
              <w:t xml:space="preserve">Tiered operating deposit</w:t>
            </w:r>
          </w:p>
        </w:tc>
        <w:tc>
          <w:tcPr/>
          <w:p>
            <w:pPr>
              <w:pStyle w:val="Compact"/>
            </w:pPr>
            <w:r>
              <w:t xml:space="preserve">🟢</w:t>
            </w:r>
          </w:p>
        </w:tc>
        <w:tc>
          <w:tcPr/>
          <w:p>
            <w:pPr>
              <w:pStyle w:val="Compact"/>
            </w:pPr>
            <w:r>
              <w:t xml:space="preserve">Legislative explanation states "shall be set respectively taking into account categories and scope of business"</w:t>
            </w:r>
          </w:p>
        </w:tc>
      </w:tr>
      <w:tr>
        <w:tc>
          <w:tcPr/>
          <w:p>
            <w:pPr>
              <w:pStyle w:val="Compact"/>
            </w:pPr>
            <w:r>
              <w:t xml:space="preserve">Art. 12</w:t>
            </w:r>
          </w:p>
        </w:tc>
        <w:tc>
          <w:tcPr/>
          <w:p>
            <w:pPr>
              <w:pStyle w:val="Compact"/>
            </w:pPr>
            <w:r>
              <w:t xml:space="preserve">Transition for personnel</w:t>
            </w:r>
          </w:p>
        </w:tc>
        <w:tc>
          <w:tcPr/>
          <w:p>
            <w:pPr>
              <w:pStyle w:val="Compact"/>
            </w:pPr>
            <w:r>
              <w:t xml:space="preserve">🟡💬</w:t>
            </w:r>
          </w:p>
        </w:tc>
        <w:tc>
          <w:tcPr/>
          <w:p>
            <w:pPr>
              <w:pStyle w:val="Compact"/>
            </w:pPr>
            <w:r>
              <w:t xml:space="preserve">Clause not adopted; supplementary resolution (page-12) adopted 1 + 0.5 years</w:t>
            </w:r>
          </w:p>
        </w:tc>
      </w:tr>
      <w:tr>
        <w:tc>
          <w:tcPr/>
          <w:p>
            <w:pPr>
              <w:pStyle w:val="Compact"/>
            </w:pPr>
            <w:r>
              <w:t xml:space="preserve">Art. 13</w:t>
            </w:r>
          </w:p>
        </w:tc>
        <w:tc>
          <w:tcPr/>
          <w:p>
            <w:pPr>
              <w:pStyle w:val="Compact"/>
            </w:pPr>
            <w:r>
              <w:t xml:space="preserve">Tiered debt ratio</w:t>
            </w:r>
          </w:p>
        </w:tc>
        <w:tc>
          <w:tcPr/>
          <w:p>
            <w:pPr>
              <w:pStyle w:val="Compact"/>
            </w:pPr>
            <w:r>
              <w:t xml:space="preserve">🟡</w:t>
            </w:r>
          </w:p>
        </w:tc>
        <w:tc>
          <w:tcPr/>
          <w:p>
            <w:pPr>
              <w:pStyle w:val="Compact"/>
            </w:pPr>
            <w:r>
              <w:t xml:space="preserve">Clause unchanged; legislative explanation adopts same direction</w:t>
            </w:r>
          </w:p>
        </w:tc>
      </w:tr>
      <w:tr>
        <w:tc>
          <w:tcPr/>
          <w:p>
            <w:pPr>
              <w:pStyle w:val="Compact"/>
            </w:pPr>
            <w:r>
              <w:t xml:space="preserve">Art. 17</w:t>
            </w:r>
          </w:p>
        </w:tc>
        <w:tc>
          <w:tcPr/>
          <w:p>
            <w:pPr>
              <w:pStyle w:val="Compact"/>
            </w:pPr>
            <w:r>
              <w:t xml:space="preserve">Customer information confidentiality</w:t>
            </w:r>
          </w:p>
        </w:tc>
        <w:tc>
          <w:tcPr/>
          <w:p>
            <w:pPr>
              <w:pStyle w:val="Compact"/>
            </w:pPr>
            <w:r>
              <w:t xml:space="preserve">🟢</w:t>
            </w:r>
          </w:p>
        </w:tc>
        <w:tc>
          <w:tcPr/>
          <w:p>
            <w:pPr>
              <w:pStyle w:val="Compact"/>
            </w:pPr>
            <w:r>
              <w:t xml:space="preserve">Passed Art. 17 already imposes confidentiality (aligned with KO version)</w:t>
            </w:r>
          </w:p>
        </w:tc>
      </w:tr>
      <w:tr>
        <w:tc>
          <w:tcPr/>
          <w:p>
            <w:pPr>
              <w:pStyle w:val="Compact"/>
            </w:pPr>
            <w:r>
              <w:t xml:space="preserve">Art. 20</w:t>
            </w:r>
          </w:p>
        </w:tc>
        <w:tc>
          <w:tcPr/>
          <w:p>
            <w:pPr>
              <w:pStyle w:val="Compact"/>
            </w:pPr>
            <w:r>
              <w:t xml:space="preserve">Suspension of trading time limit</w:t>
            </w:r>
          </w:p>
        </w:tc>
        <w:tc>
          <w:tcPr/>
          <w:p>
            <w:pPr>
              <w:pStyle w:val="Compact"/>
            </w:pPr>
            <w:r>
              <w:t xml:space="preserve">🔴💬</w:t>
            </w:r>
          </w:p>
        </w:tc>
        <w:tc>
          <w:tcPr/>
          <w:p>
            <w:pPr>
              <w:pStyle w:val="Compact"/>
            </w:pPr>
            <w:r>
              <w:t xml:space="preserve">20 days not adopted in clause; supplementary resolution (page-15) handles via secondary legislation</w:t>
            </w:r>
          </w:p>
        </w:tc>
      </w:tr>
      <w:tr>
        <w:tc>
          <w:tcPr/>
          <w:p>
            <w:pPr>
              <w:pStyle w:val="Compact"/>
            </w:pPr>
            <w:r>
              <w:t xml:space="preserve">Art. 23</w:t>
            </w:r>
          </w:p>
        </w:tc>
        <w:tc>
          <w:tcPr/>
          <w:p>
            <w:pPr>
              <w:pStyle w:val="Compact"/>
            </w:pPr>
            <w:r>
              <w:t xml:space="preserve">Record retention standards</w:t>
            </w:r>
          </w:p>
        </w:tc>
        <w:tc>
          <w:tcPr/>
          <w:p>
            <w:pPr>
              <w:pStyle w:val="Compact"/>
            </w:pPr>
            <w:r>
              <w:t xml:space="preserve">🟢</w:t>
            </w:r>
          </w:p>
        </w:tc>
        <w:tc>
          <w:tcPr/>
          <w:p>
            <w:pPr>
              <w:pStyle w:val="Compact"/>
            </w:pPr>
            <w:r>
              <w:t xml:space="preserve">New Paragraph 4: "Scope, procedure, and form to be prescribed by the competent authority"</w:t>
            </w:r>
          </w:p>
        </w:tc>
      </w:tr>
      <w:tr>
        <w:tc>
          <w:tcPr/>
          <w:p>
            <w:pPr>
              <w:pStyle w:val="Compact"/>
            </w:pPr>
            <w:r>
              <w:t xml:space="preserve">Art. 25</w:t>
            </w:r>
          </w:p>
        </w:tc>
        <w:tc>
          <w:tcPr/>
          <w:p>
            <w:pPr>
              <w:pStyle w:val="Compact"/>
            </w:pPr>
            <w:r>
              <w:t xml:space="preserve">Filing-for-record regime for listing</w:t>
            </w:r>
          </w:p>
        </w:tc>
        <w:tc>
          <w:tcPr/>
          <w:p>
            <w:pPr>
              <w:pStyle w:val="Compact"/>
            </w:pPr>
            <w:r>
              <w:t xml:space="preserve">🟢🟡⭐</w:t>
            </w:r>
          </w:p>
        </w:tc>
        <w:tc>
          <w:tcPr/>
          <w:p>
            <w:pPr>
              <w:pStyle w:val="Compact"/>
            </w:pPr>
            <w:r>
              <w:rPr>
                <w:b/>
                <w:bCs/>
              </w:rPr>
              <w:t xml:space="preserve">"Approval" → "filing for record" (KO originally proposed "filing-only"; one-character compromise); supplementary resolution # 15 adds "15 days as the basis"</w:t>
            </w:r>
          </w:p>
        </w:tc>
      </w:tr>
      <w:tr>
        <w:tc>
          <w:tcPr/>
          <w:p>
            <w:pPr>
              <w:pStyle w:val="Compact"/>
            </w:pPr>
            <w:r>
              <w:t xml:space="preserve">Art. 27</w:t>
            </w:r>
          </w:p>
        </w:tc>
        <w:tc>
          <w:tcPr/>
          <w:p>
            <w:pPr>
              <w:pStyle w:val="Compact"/>
            </w:pPr>
            <w:r>
              <w:t xml:space="preserve">Liability for outsourced custody</w:t>
            </w:r>
          </w:p>
        </w:tc>
        <w:tc>
          <w:tcPr/>
          <w:p>
            <w:pPr>
              <w:pStyle w:val="Compact"/>
            </w:pPr>
            <w:r>
              <w:t xml:space="preserve">🟢</w:t>
            </w:r>
          </w:p>
        </w:tc>
        <w:tc>
          <w:tcPr/>
          <w:p>
            <w:pPr>
              <w:pStyle w:val="Compact"/>
            </w:pPr>
            <w:r>
              <w:t xml:space="preserve">Privity-of-contract spirit fully adopted</w:t>
            </w:r>
          </w:p>
        </w:tc>
      </w:tr>
      <w:tr>
        <w:tc>
          <w:tcPr/>
          <w:p>
            <w:pPr>
              <w:pStyle w:val="Compact"/>
            </w:pPr>
            <w:r>
              <w:t xml:space="preserve">Art. 30</w:t>
            </w:r>
          </w:p>
        </w:tc>
        <w:tc>
          <w:tcPr/>
          <w:p>
            <w:pPr>
              <w:pStyle w:val="Compact"/>
            </w:pPr>
            <w:r>
              <w:t xml:space="preserve">Custodian damages</w:t>
            </w:r>
          </w:p>
        </w:tc>
        <w:tc>
          <w:tcPr/>
          <w:p>
            <w:pPr>
              <w:pStyle w:val="Compact"/>
            </w:pPr>
            <w:r>
              <w:t xml:space="preserve">🟢</w:t>
            </w:r>
          </w:p>
        </w:tc>
        <w:tc>
          <w:tcPr/>
          <w:p>
            <w:pPr>
              <w:pStyle w:val="Compact"/>
            </w:pPr>
            <w:r>
              <w:t xml:space="preserve">Same spirit as Art. 27</w:t>
            </w:r>
          </w:p>
        </w:tc>
      </w:tr>
      <w:tr>
        <w:tc>
          <w:tcPr/>
          <w:p>
            <w:pPr>
              <w:pStyle w:val="Compact"/>
            </w:pPr>
            <w:r>
              <w:t xml:space="preserve">Art. 32</w:t>
            </w:r>
          </w:p>
        </w:tc>
        <w:tc>
          <w:tcPr/>
          <w:p>
            <w:pPr>
              <w:pStyle w:val="Compact"/>
            </w:pPr>
            <w:r>
              <w:t xml:space="preserve">Trade association education and outreach</w:t>
            </w:r>
          </w:p>
        </w:tc>
        <w:tc>
          <w:tcPr/>
          <w:p>
            <w:pPr>
              <w:pStyle w:val="Compact"/>
            </w:pPr>
            <w:r>
              <w:t xml:space="preserve">🟢</w:t>
            </w:r>
          </w:p>
        </w:tc>
        <w:tc>
          <w:tcPr/>
          <w:p>
            <w:pPr>
              <w:pStyle w:val="Compact"/>
            </w:pPr>
            <w:r>
              <w:t xml:space="preserve">Art. 33 extended to "customers or the public"</w:t>
            </w:r>
          </w:p>
        </w:tc>
      </w:tr>
      <w:tr>
        <w:tc>
          <w:tcPr/>
          <w:p>
            <w:pPr>
              <w:pStyle w:val="Compact"/>
            </w:pPr>
            <w:r>
              <w:t xml:space="preserve">Art. 33</w:t>
            </w:r>
          </w:p>
        </w:tc>
        <w:tc>
          <w:tcPr/>
          <w:p>
            <w:pPr>
              <w:pStyle w:val="Compact"/>
            </w:pPr>
            <w:r>
              <w:t xml:space="preserve">Education and outreach to the public</w:t>
            </w:r>
          </w:p>
        </w:tc>
        <w:tc>
          <w:tcPr/>
          <w:p>
            <w:pPr>
              <w:pStyle w:val="Compact"/>
            </w:pPr>
            <w:r>
              <w:t xml:space="preserve">🟢</w:t>
            </w:r>
          </w:p>
        </w:tc>
        <w:tc>
          <w:tcPr/>
          <w:p>
            <w:pPr>
              <w:pStyle w:val="Compact"/>
            </w:pPr>
            <w:r>
              <w:t xml:space="preserve">Same as above</w:t>
            </w:r>
          </w:p>
        </w:tc>
      </w:tr>
      <w:tr>
        <w:tc>
          <w:tcPr/>
          <w:p>
            <w:pPr>
              <w:pStyle w:val="Compact"/>
            </w:pPr>
            <w:r>
              <w:t xml:space="preserve">Art. 35</w:t>
            </w:r>
          </w:p>
        </w:tc>
        <w:tc>
          <w:tcPr/>
          <w:p>
            <w:pPr>
              <w:pStyle w:val="Compact"/>
            </w:pPr>
            <w:r>
              <w:t xml:space="preserve">Stablecoin flexibility proviso</w:t>
            </w:r>
          </w:p>
        </w:tc>
        <w:tc>
          <w:tcPr/>
          <w:p>
            <w:pPr>
              <w:pStyle w:val="Compact"/>
            </w:pPr>
            <w:r>
              <w:t xml:space="preserve">🟢</w:t>
            </w:r>
          </w:p>
        </w:tc>
        <w:tc>
          <w:tcPr/>
          <w:p>
            <w:pPr>
              <w:pStyle w:val="Compact"/>
            </w:pPr>
            <w:r>
              <w:t xml:space="preserve">"Except as otherwise provided by the competent authority" adopted</w:t>
            </w:r>
          </w:p>
        </w:tc>
      </w:tr>
      <w:tr>
        <w:tc>
          <w:tcPr/>
          <w:p>
            <w:pPr>
              <w:pStyle w:val="Compact"/>
            </w:pPr>
            <w:r>
              <w:t xml:space="preserve">Art. 36</w:t>
            </w:r>
          </w:p>
        </w:tc>
        <w:tc>
          <w:tcPr/>
          <w:p>
            <w:pPr>
              <w:pStyle w:val="Compact"/>
            </w:pPr>
            <w:r>
              <w:t xml:space="preserve">Stablecoin reserve assets</w:t>
            </w:r>
          </w:p>
        </w:tc>
        <w:tc>
          <w:tcPr/>
          <w:p>
            <w:pPr>
              <w:pStyle w:val="Compact"/>
            </w:pPr>
            <w:r>
              <w:t xml:space="preserve">🟢</w:t>
            </w:r>
          </w:p>
        </w:tc>
        <w:tc>
          <w:tcPr/>
          <w:p>
            <w:pPr>
              <w:pStyle w:val="Compact"/>
            </w:pPr>
            <w:r>
              <w:t xml:space="preserve">Aligned with GENIUS and MiCA</w:t>
            </w:r>
          </w:p>
        </w:tc>
      </w:tr>
      <w:tr>
        <w:tc>
          <w:tcPr/>
          <w:p>
            <w:pPr>
              <w:pStyle w:val="Compact"/>
            </w:pPr>
            <w:r>
              <w:t xml:space="preserve">Art. 42</w:t>
            </w:r>
          </w:p>
        </w:tc>
        <w:tc>
          <w:tcPr/>
          <w:p>
            <w:pPr>
              <w:pStyle w:val="Compact"/>
            </w:pPr>
            <w:r>
              <w:t xml:space="preserve">Market manipulation exemption</w:t>
            </w:r>
          </w:p>
        </w:tc>
        <w:tc>
          <w:tcPr/>
          <w:p>
            <w:pPr>
              <w:pStyle w:val="Compact"/>
            </w:pPr>
            <w:r>
              <w:t xml:space="preserve">🟢💬</w:t>
            </w:r>
          </w:p>
        </w:tc>
        <w:tc>
          <w:tcPr/>
          <w:p>
            <w:pPr>
              <w:pStyle w:val="Compact"/>
            </w:pPr>
            <w:r>
              <w:rPr>
                <w:b/>
                <w:bCs/>
              </w:rPr>
              <w:t xml:space="preserve">Adopted word for word; supplementary resolution (page-13) handles stablecoin boundaries</w:t>
            </w:r>
          </w:p>
        </w:tc>
      </w:tr>
      <w:tr>
        <w:tc>
          <w:tcPr/>
          <w:p>
            <w:pPr>
              <w:pStyle w:val="Compact"/>
            </w:pPr>
            <w:r>
              <w:t xml:space="preserve">⭐ Art. 43</w:t>
            </w:r>
          </w:p>
        </w:tc>
        <w:tc>
          <w:tcPr/>
          <w:p>
            <w:pPr>
              <w:pStyle w:val="Compact"/>
            </w:pPr>
            <w:r>
              <w:t xml:space="preserve">FinTech Innovation Development Fund</w:t>
            </w:r>
          </w:p>
        </w:tc>
        <w:tc>
          <w:tcPr/>
          <w:p>
            <w:pPr>
              <w:pStyle w:val="Compact"/>
            </w:pPr>
            <w:r>
              <w:t xml:space="preserve">⭐💬</w:t>
            </w:r>
          </w:p>
        </w:tc>
        <w:tc>
          <w:tcPr/>
          <w:p>
            <w:pPr>
              <w:pStyle w:val="Compact"/>
            </w:pPr>
            <w:r>
              <w:rPr>
                <w:b/>
                <w:bCs/>
              </w:rPr>
              <w:t xml:space="preserve">KO-version exclusive; clause not adopted; supplementary resolution (page-6) adopted</w:t>
            </w:r>
          </w:p>
        </w:tc>
      </w:tr>
      <w:tr>
        <w:tc>
          <w:tcPr/>
          <w:p>
            <w:pPr>
              <w:pStyle w:val="Compact"/>
            </w:pPr>
            <w:r>
              <w:t xml:space="preserve">Art. 47</w:t>
            </w:r>
          </w:p>
        </w:tc>
        <w:tc>
          <w:tcPr/>
          <w:p>
            <w:pPr>
              <w:pStyle w:val="Compact"/>
            </w:pPr>
            <w:r>
              <w:t xml:space="preserve">In-kind payment in virtual assets</w:t>
            </w:r>
          </w:p>
        </w:tc>
        <w:tc>
          <w:tcPr/>
          <w:p>
            <w:pPr>
              <w:pStyle w:val="Compact"/>
            </w:pPr>
            <w:r>
              <w:t xml:space="preserve">🟡💬</w:t>
            </w:r>
          </w:p>
        </w:tc>
        <w:tc>
          <w:tcPr/>
          <w:p>
            <w:pPr>
              <w:pStyle w:val="Compact"/>
            </w:pPr>
            <w:r>
              <w:t xml:space="preserve">Clause not adopted; legislative explanation states "in-kind return as the principle"; supplementary resolution (page-14) for comprehensive review</w:t>
            </w:r>
          </w:p>
        </w:tc>
      </w:tr>
      <w:tr>
        <w:tc>
          <w:tcPr/>
          <w:p>
            <w:pPr>
              <w:pStyle w:val="Compact"/>
            </w:pPr>
            <w:r>
              <w:t xml:space="preserve">Art. 55</w:t>
            </w:r>
          </w:p>
        </w:tc>
        <w:tc>
          <w:tcPr/>
          <w:p>
            <w:pPr>
              <w:pStyle w:val="Compact"/>
            </w:pPr>
            <w:r>
              <w:t xml:space="preserve">Extended transition period</w:t>
            </w:r>
          </w:p>
        </w:tc>
        <w:tc>
          <w:tcPr/>
          <w:p>
            <w:pPr>
              <w:pStyle w:val="Compact"/>
            </w:pPr>
            <w:r>
              <w:t xml:space="preserve">🟢</w:t>
            </w:r>
          </w:p>
        </w:tc>
        <w:tc>
          <w:tcPr/>
          <w:p>
            <w:pPr>
              <w:pStyle w:val="Compact"/>
            </w:pPr>
            <w:r>
              <w:t xml:space="preserve">12 + 21 + 3 (total 24) months</w:t>
            </w:r>
          </w:p>
        </w:tc>
      </w:tr>
    </w:tbl>
    <w:p>
      <w:pPr>
        <w:pStyle w:val="BodyText"/>
      </w:pPr>
      <w:r>
        <w:rPr>
          <w:b/>
          <w:bCs/>
        </w:rPr>
        <w:t xml:space="preserve">Overall adoption structure:</w:t>
      </w:r>
    </w:p>
    <w:p>
      <w:pPr>
        <w:pStyle w:val="Compact"/>
        <w:numPr>
          <w:ilvl w:val="0"/>
          <w:numId w:val="1021"/>
        </w:numPr>
      </w:pPr>
      <w:r>
        <w:t xml:space="preserve">🟢 Fully or substantively adopted:</w:t>
      </w:r>
      <w:r>
        <w:t xml:space="preserve"> </w:t>
      </w:r>
      <w:r>
        <w:rPr>
          <w:b/>
          <w:bCs/>
        </w:rPr>
        <w:t xml:space="preserve">13 articles</w:t>
      </w:r>
    </w:p>
    <w:p>
      <w:pPr>
        <w:pStyle w:val="Compact"/>
        <w:numPr>
          <w:ilvl w:val="0"/>
          <w:numId w:val="1021"/>
        </w:numPr>
      </w:pPr>
      <w:r>
        <w:t xml:space="preserve">🟡 Partially adopted or compromised:</w:t>
      </w:r>
      <w:r>
        <w:t xml:space="preserve"> </w:t>
      </w:r>
      <w:r>
        <w:rPr>
          <w:b/>
          <w:bCs/>
        </w:rPr>
        <w:t xml:space="preserve">4 articles</w:t>
      </w:r>
    </w:p>
    <w:p>
      <w:pPr>
        <w:pStyle w:val="Compact"/>
        <w:numPr>
          <w:ilvl w:val="0"/>
          <w:numId w:val="1021"/>
        </w:numPr>
      </w:pPr>
      <w:r>
        <w:t xml:space="preserve">🔴 Clause not adopted:</w:t>
      </w:r>
      <w:r>
        <w:t xml:space="preserve"> </w:t>
      </w:r>
      <w:r>
        <w:rPr>
          <w:b/>
          <w:bCs/>
        </w:rPr>
        <w:t xml:space="preserve">1 article</w:t>
      </w:r>
      <w:r>
        <w:t xml:space="preserve"> </w:t>
      </w:r>
      <w:r>
        <w:t xml:space="preserve">(Art. 20)</w:t>
      </w:r>
    </w:p>
    <w:p>
      <w:pPr>
        <w:pStyle w:val="Compact"/>
        <w:numPr>
          <w:ilvl w:val="0"/>
          <w:numId w:val="1021"/>
        </w:numPr>
      </w:pPr>
      <w:r>
        <w:t xml:space="preserve">⭐ KO-version exclusive design:</w:t>
      </w:r>
      <w:r>
        <w:t xml:space="preserve"> </w:t>
      </w:r>
      <w:r>
        <w:rPr>
          <w:b/>
          <w:bCs/>
        </w:rPr>
        <w:t xml:space="preserve">1 article</w:t>
      </w:r>
      <w:r>
        <w:t xml:space="preserve"> </w:t>
      </w:r>
      <w:r>
        <w:t xml:space="preserve">(Art. 43)</w:t>
      </w:r>
    </w:p>
    <w:p>
      <w:pPr>
        <w:pStyle w:val="Compact"/>
        <w:numPr>
          <w:ilvl w:val="0"/>
          <w:numId w:val="1021"/>
        </w:numPr>
      </w:pPr>
      <w:r>
        <w:t xml:space="preserve">💬 Adopted via supplementary resolutions:</w:t>
      </w:r>
      <w:r>
        <w:t xml:space="preserve"> </w:t>
      </w:r>
      <w:r>
        <w:rPr>
          <w:b/>
          <w:bCs/>
        </w:rPr>
        <w:t xml:space="preserve">7+ items</w:t>
      </w:r>
    </w:p>
    <w:p>
      <w:pPr>
        <w:pStyle w:val="FirstParagraph"/>
      </w:pPr>
      <w:r>
        <w:rPr>
          <w:b/>
          <w:bCs/>
        </w:rPr>
        <w:t xml:space="preserve">BaoBo's overall adoption rate: roughly 86% (19 of 22 articles have some degree of adoption).</w:t>
      </w:r>
      <w:r>
        <w:t xml:space="preserve"> </w:t>
      </w:r>
      <w:r>
        <w:t xml:space="preserve">Of the 15 supplementary resolutions,</w:t>
      </w:r>
      <w:r>
        <w:t xml:space="preserve"> </w:t>
      </w:r>
      <w:r>
        <w:rPr>
          <w:b/>
          <w:bCs/>
        </w:rPr>
        <w:t xml:space="preserve">at least 9 carry my fingerprint</w:t>
      </w:r>
      <w:r>
        <w:t xml:space="preserve"> </w:t>
      </w:r>
      <w:r>
        <w:t xml:space="preserve">(6 principal proposals + 3 mirroring KO-version clauses).</w:t>
      </w:r>
    </w:p>
    <w:p>
      <w:r>
        <w:pict>
          <v:rect style="width:0;height:1.5pt" o:hralign="center" o:hrstd="t" o:hr="t"/>
        </w:pict>
      </w:r>
    </w:p>
    <w:p>
      <w:pPr>
        <w:pStyle w:val="FirstParagraph"/>
      </w:pPr>
      <w:r>
        <w:rPr>
          <w:i/>
          <w:iCs/>
        </w:rPr>
        <w:t xml:space="preserve">This is the personal legislative notebook of Legislator KO Ju-Chun, written independently and not representing the position of any political party. The detailed text of the version passed by the Finance Committee on June 3, 2026 is publicly available in the Legislative Yuan's records system.</w:t>
      </w:r>
    </w:p>
    <w:p>
      <w:pPr>
        <w:pStyle w:val="BodyText"/>
      </w:pPr>
      <w:r>
        <w:rPr>
          <w:i/>
          <w:iCs/>
        </w:rPr>
        <w:t xml:space="preserve">This piece was co-authored with LittleLobster (AI Research Assistant), who helped organize the speech transcripts, comparative law materials, and the influence-rating tables. Final wording, political judgment, and responsibility rest with KO Ju-Chun.</w:t>
      </w:r>
    </w:p>
    <w:p>
      <w:r>
        <w:pict>
          <v:rect style="width:0;height:1.5pt" o:hralign="center" o:hrstd="t" o:hr="t"/>
        </w:pict>
      </w:r>
    </w:p>
    <w:p>
      <w:pPr>
        <w:pStyle w:val="FirstParagraph"/>
      </w:pPr>
      <w:r>
        <w:rPr>
          <w:i/>
          <w:iCs/>
        </w:rPr>
        <w:t xml:space="preserve">Originally written in Traditional Chinese; this English version is prepared for international readers. The Chinese version remains authoritative for any interpretive disputes.</w:t>
      </w:r>
    </w:p>
    <w:p>
      <w:pPr>
        <w:pStyle w:val="BodyText"/>
      </w:pPr>
      <w:r>
        <w:rPr>
          <w:i/>
          <w:iCs/>
        </w:rPr>
        <w:t xml:space="preserve">— Office of Legislator Ju-Chun KO (BaoBo), June 9, 2026</w:t>
      </w:r>
    </w:p>
    <w:p>
      <w:r>
        <w:pict>
          <v:rect style="width:0;height:1.5pt" o:hralign="center" o:hrstd="t" o:hr="t"/>
        </w:pict>
      </w:r>
    </w:p>
    <w:bookmarkEnd w:id="76"/>
    <w:bookmarkStart w:id="87" w:name="paperclip-files--downloads"/>
    <w:p>
      <w:pPr>
        <w:pStyle w:val="Heading2"/>
      </w:pPr>
      <w:r>
        <w:t xml:space="preserve">📎 Files &amp; Downloads</w:t>
      </w:r>
    </w:p>
    <w:p>
      <w:pPr>
        <w:pStyle w:val="FirstParagraph"/>
      </w:pPr>
      <w:r>
        <w:t xml:space="preserve">📖</w:t>
      </w:r>
      <w:r>
        <w:t xml:space="preserve"> </w:t>
      </w:r>
      <w:hyperlink r:id="rId77">
        <w:r>
          <w:rPr>
            <w:rStyle w:val="Hyperlink"/>
            <w:rFonts w:hint="eastAsia"/>
          </w:rPr>
          <w:t xml:space="preserve">中文版本：《虛擬資產服務法》立法手記</w:t>
        </w:r>
      </w:hyperlink>
    </w:p>
    <w:p>
      <w:pPr>
        <w:pStyle w:val="BodyText"/>
      </w:pPr>
      <w:r>
        <w:t xml:space="preserve">This law wasn't written by me alone, and it shouldn't be read by me alone. Below are the original materials and reference links — all publicly accessible for scholars, industry, international readers, and future generations:</w:t>
      </w:r>
    </w:p>
    <w:bookmarkStart w:id="80" w:name="Xaffca0689bca2b04df93c1f203ad1557fc50602"/>
    <w:p>
      <w:pPr>
        <w:pStyle w:val="Heading3"/>
      </w:pPr>
      <w:r>
        <w:t xml:space="preserve">Virtual Asset Services Act (Draft) — Bilingual Edition (June 3 Committee Review Version)</w:t>
      </w:r>
    </w:p>
    <w:p>
      <w:pPr>
        <w:pStyle w:val="Compact"/>
        <w:numPr>
          <w:ilvl w:val="0"/>
          <w:numId w:val="1022"/>
        </w:numPr>
      </w:pPr>
      <w:r>
        <w:t xml:space="preserve">📖</w:t>
      </w:r>
      <w:r>
        <w:t xml:space="preserve"> </w:t>
      </w:r>
      <w:hyperlink r:id="rId78">
        <w:r>
          <w:rPr>
            <w:rStyle w:val="Hyperlink"/>
          </w:rPr>
          <w:t xml:space="preserve">Bilingual VASA Draft (PDF, 75 pages, FSC official translation conventions)</w:t>
        </w:r>
      </w:hyperlink>
    </w:p>
    <w:p>
      <w:pPr>
        <w:pStyle w:val="Compact"/>
        <w:numPr>
          <w:ilvl w:val="0"/>
          <w:numId w:val="1022"/>
        </w:numPr>
      </w:pPr>
      <w:r>
        <w:t xml:space="preserve">📖</w:t>
      </w:r>
      <w:r>
        <w:t xml:space="preserve"> </w:t>
      </w:r>
      <w:hyperlink r:id="rId79">
        <w:r>
          <w:rPr>
            <w:rStyle w:val="Hyperlink"/>
          </w:rPr>
          <w:t xml:space="preserve">Bilingual VASA Draft (Word, editable)</w:t>
        </w:r>
      </w:hyperlink>
    </w:p>
    <w:bookmarkEnd w:id="80"/>
    <w:bookmarkStart w:id="82" w:name="X7e8e11b6c9befb7e8b0d2602778b8e9c99d9cbd"/>
    <w:p>
      <w:pPr>
        <w:pStyle w:val="Heading3"/>
      </w:pPr>
      <w:r>
        <w:t xml:space="preserve">Original Legislative Materials (Legislative Yuan Official)</w:t>
      </w:r>
    </w:p>
    <w:p>
      <w:pPr>
        <w:pStyle w:val="Compact"/>
        <w:numPr>
          <w:ilvl w:val="0"/>
          <w:numId w:val="1023"/>
        </w:numPr>
      </w:pPr>
      <w:r>
        <w:t xml:space="preserve">🏛️</w:t>
      </w:r>
      <w:r>
        <w:t xml:space="preserve"> </w:t>
      </w:r>
      <w:hyperlink r:id="rId31">
        <w:r>
          <w:rPr>
            <w:rStyle w:val="Hyperlink"/>
          </w:rPr>
          <w:t xml:space="preserve">Legislative Yuan Bill Documents Search</w:t>
        </w:r>
      </w:hyperlink>
      <w:r>
        <w:t xml:space="preserve">: search </w:t>
      </w:r>
      <w:r>
        <w:rPr>
          <w:rFonts w:hint="eastAsia"/>
        </w:rPr>
        <w:t xml:space="preserve">"虛擬資產服務法"</w:t>
      </w:r>
    </w:p>
    <w:p>
      <w:pPr>
        <w:pStyle w:val="Compact"/>
        <w:numPr>
          <w:ilvl w:val="0"/>
          <w:numId w:val="1023"/>
        </w:numPr>
      </w:pPr>
      <w:r>
        <w:t xml:space="preserve">📺</w:t>
      </w:r>
      <w:r>
        <w:t xml:space="preserve"> </w:t>
      </w:r>
      <w:hyperlink r:id="rId9">
        <w:r>
          <w:rPr>
            <w:rStyle w:val="Hyperlink"/>
          </w:rPr>
          <w:t xml:space="preserve">June 3 Finance Committee IVOD (full recording)</w:t>
        </w:r>
      </w:hyperlink>
    </w:p>
    <w:p>
      <w:pPr>
        <w:pStyle w:val="Compact"/>
        <w:numPr>
          <w:ilvl w:val="0"/>
          <w:numId w:val="1023"/>
        </w:numPr>
      </w:pPr>
      <w:r>
        <w:t xml:space="preserve">🏛️</w:t>
      </w:r>
      <w:r>
        <w:t xml:space="preserve"> </w:t>
      </w:r>
      <w:hyperlink r:id="rId81">
        <w:r>
          <w:rPr>
            <w:rStyle w:val="Hyperlink"/>
          </w:rPr>
          <w:t xml:space="preserve">FSC Official English Translation (terminology source)</w:t>
        </w:r>
      </w:hyperlink>
      <w:r>
        <w:t xml:space="preserve"> </w:t>
      </w:r>
      <w:r>
        <w:t xml:space="preserve">of Anti-Money Laundering and Counter-Terrorism Financing Regulations for VASPs</w:t>
      </w:r>
    </w:p>
    <w:bookmarkEnd w:id="82"/>
    <w:bookmarkStart w:id="83" w:name="international-comparative-law-references"/>
    <w:p>
      <w:pPr>
        <w:pStyle w:val="Heading3"/>
      </w:pPr>
      <w:r>
        <w:t xml:space="preserve">International Comparative Law References</w:t>
      </w:r>
    </w:p>
    <w:p>
      <w:pPr>
        <w:pStyle w:val="Compact"/>
        <w:numPr>
          <w:ilvl w:val="0"/>
          <w:numId w:val="1024"/>
        </w:numPr>
      </w:pPr>
      <w:hyperlink r:id="rId20">
        <w:r>
          <w:rPr>
            <w:rStyle w:val="Hyperlink"/>
          </w:rPr>
          <w:t xml:space="preserve">EU MiCA Regulation (EUR-Lex)</w:t>
        </w:r>
      </w:hyperlink>
    </w:p>
    <w:p>
      <w:pPr>
        <w:pStyle w:val="Compact"/>
        <w:numPr>
          <w:ilvl w:val="0"/>
          <w:numId w:val="1024"/>
        </w:numPr>
      </w:pPr>
      <w:hyperlink r:id="rId13">
        <w:r>
          <w:rPr>
            <w:rStyle w:val="Hyperlink"/>
          </w:rPr>
          <w:t xml:space="preserve">U.S. GENIUS Act (H.R. 2392, 119th Congress)</w:t>
        </w:r>
      </w:hyperlink>
    </w:p>
    <w:p>
      <w:pPr>
        <w:pStyle w:val="Compact"/>
        <w:numPr>
          <w:ilvl w:val="0"/>
          <w:numId w:val="1024"/>
        </w:numPr>
      </w:pPr>
      <w:hyperlink r:id="rId14">
        <w:r>
          <w:rPr>
            <w:rStyle w:val="Hyperlink"/>
          </w:rPr>
          <w:t xml:space="preserve">FATF Recommendation 15 (Virtual Assets and VASPs)</w:t>
        </w:r>
      </w:hyperlink>
    </w:p>
    <w:p>
      <w:pPr>
        <w:pStyle w:val="Compact"/>
        <w:numPr>
          <w:ilvl w:val="0"/>
          <w:numId w:val="1024"/>
        </w:numPr>
      </w:pPr>
      <w:hyperlink r:id="rId15">
        <w:r>
          <w:rPr>
            <w:rStyle w:val="Hyperlink"/>
          </w:rPr>
          <w:t xml:space="preserve">IOSCO Policy Recommendations for Crypto and Digital Asset Markets (Nov 2023)</w:t>
        </w:r>
      </w:hyperlink>
    </w:p>
    <w:p>
      <w:pPr>
        <w:pStyle w:val="Compact"/>
        <w:numPr>
          <w:ilvl w:val="0"/>
          <w:numId w:val="1024"/>
        </w:numPr>
      </w:pPr>
      <w:hyperlink r:id="rId23">
        <w:r>
          <w:rPr>
            <w:rStyle w:val="Hyperlink"/>
          </w:rPr>
          <w:t xml:space="preserve">Japan FSA: Payment Services Act (PSA) — English Translation</w:t>
        </w:r>
      </w:hyperlink>
    </w:p>
    <w:p>
      <w:pPr>
        <w:pStyle w:val="Compact"/>
        <w:numPr>
          <w:ilvl w:val="0"/>
          <w:numId w:val="1024"/>
        </w:numPr>
      </w:pPr>
      <w:hyperlink r:id="rId21">
        <w:r>
          <w:rPr>
            <w:rStyle w:val="Hyperlink"/>
          </w:rPr>
          <w:t xml:space="preserve">Korea Virtual Asset Users Protection Act (VAUPA)</w:t>
        </w:r>
      </w:hyperlink>
    </w:p>
    <w:p>
      <w:pPr>
        <w:pStyle w:val="Compact"/>
        <w:numPr>
          <w:ilvl w:val="0"/>
          <w:numId w:val="1024"/>
        </w:numPr>
      </w:pPr>
      <w:hyperlink r:id="rId22">
        <w:r>
          <w:rPr>
            <w:rStyle w:val="Hyperlink"/>
          </w:rPr>
          <w:t xml:space="preserve">Hong Kong Stablecoins Ordinance</w:t>
        </w:r>
      </w:hyperlink>
    </w:p>
    <w:bookmarkEnd w:id="83"/>
    <w:bookmarkStart w:id="86" w:name="future-updates"/>
    <w:p>
      <w:pPr>
        <w:pStyle w:val="Heading3"/>
      </w:pPr>
      <w:r>
        <w:t xml:space="preserve">Future Updates</w:t>
      </w:r>
    </w:p>
    <w:p>
      <w:pPr>
        <w:pStyle w:val="FirstParagraph"/>
      </w:pPr>
      <w:r>
        <w:t xml:space="preserve">This essay is the June 9, 2026 first edition.</w:t>
      </w:r>
      <w:r>
        <w:t xml:space="preserve"> </w:t>
      </w:r>
      <w:r>
        <w:rPr>
          <w:b/>
          <w:bCs/>
        </w:rPr>
        <w:t xml:space="preserve">The third reading is expected before August 31, 2026.</w:t>
      </w:r>
      <w:r>
        <w:t xml:space="preserve"> </w:t>
      </w:r>
      <w:r>
        <w:t xml:space="preserve">Significant updates — third reading outcomes, inter-party negotiation changes, FSC's progressive release of secondary legislation — will be added via revisions or follow-up pieces. Follow</w:t>
      </w:r>
      <w:r>
        <w:t xml:space="preserve"> </w:t>
      </w:r>
      <w:hyperlink r:id="rId84">
        <w:r>
          <w:rPr>
            <w:rStyle w:val="Hyperlink"/>
          </w:rPr>
          <w:t xml:space="preserve">@dAAAb</w:t>
        </w:r>
      </w:hyperlink>
      <w:r>
        <w:t xml:space="preserve"> </w:t>
      </w:r>
      <w:r>
        <w:t xml:space="preserve">or</w:t>
      </w:r>
      <w:r>
        <w:t xml:space="preserve"> </w:t>
      </w:r>
      <w:hyperlink r:id="rId85">
        <w:r>
          <w:rPr>
            <w:rStyle w:val="Hyperlink"/>
          </w:rPr>
          <w:t xml:space="preserve">blog.juchunko.com</w:t>
        </w:r>
      </w:hyperlink>
      <w:r>
        <w:t xml:space="preserve"> </w:t>
      </w:r>
      <w:r>
        <w:t xml:space="preserve">for the latest.</w:t>
      </w:r>
    </w:p>
    <w:bookmarkEnd w:id="86"/>
    <w:bookmarkEnd w:id="87"/>
    <w:bookmarkEnd w:id="8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79" Target="/files/vasp-act-legislative-notes/VASP-Act-Draft_Bilingual-v1.1.docx" TargetMode="External" /><Relationship Type="http://schemas.openxmlformats.org/officeDocument/2006/relationships/hyperlink" Id="rId78" Target="/files/vasp-act-legislative-notes/VASP-Act-Draft_Bilingual-v1.1.pdf" TargetMode="External" /><Relationship Type="http://schemas.openxmlformats.org/officeDocument/2006/relationships/hyperlink" Id="rId85" Target="https://blog.juchunko.com" TargetMode="External" /><Relationship Type="http://schemas.openxmlformats.org/officeDocument/2006/relationships/hyperlink" Id="rId77" Target="https://blog.juchunko.com/zh/vasp-act-legislative-notes/" TargetMode="External" /><Relationship Type="http://schemas.openxmlformats.org/officeDocument/2006/relationships/hyperlink" Id="rId21" Target="https://elaw.klri.re.kr/eng_service/lawView.do?hseq=58807&amp;lang=ENG" TargetMode="External" /><Relationship Type="http://schemas.openxmlformats.org/officeDocument/2006/relationships/hyperlink" Id="rId20" Target="https://eur-lex.europa.eu/legal-content/EN/TXT/?uri=CELEX%3A32023R1114" TargetMode="External" /><Relationship Type="http://schemas.openxmlformats.org/officeDocument/2006/relationships/hyperlink" Id="rId9" Target="https://ivod.ly.gov.tw/Play/Full/1M/17485" TargetMode="External" /><Relationship Type="http://schemas.openxmlformats.org/officeDocument/2006/relationships/hyperlink" Id="rId81" Target="https://law.fsc.gov.tw/EngLawContent.aspx?lan=E&amp;id=2734" TargetMode="External" /><Relationship Type="http://schemas.openxmlformats.org/officeDocument/2006/relationships/hyperlink" Id="rId31" Target="https://ppg.ly.gov.tw/ppg/" TargetMode="External" /><Relationship Type="http://schemas.openxmlformats.org/officeDocument/2006/relationships/hyperlink" Id="rId13" Target="https://www.congress.gov/bill/119th-congress/house-bill/2392" TargetMode="External" /><Relationship Type="http://schemas.openxmlformats.org/officeDocument/2006/relationships/hyperlink" Id="rId22" Target="https://www.elegislation.gov.hk/hk/A506!en" TargetMode="External" /><Relationship Type="http://schemas.openxmlformats.org/officeDocument/2006/relationships/hyperlink" Id="rId14" Target="https://www.fatf-gafi.org/en/topics/virtual-assets.html" TargetMode="External" /><Relationship Type="http://schemas.openxmlformats.org/officeDocument/2006/relationships/hyperlink" Id="rId15" Target="https://www.iosco.org/library/pubdocs/pdf/IOSCOPD747.pdf" TargetMode="External" /><Relationship Type="http://schemas.openxmlformats.org/officeDocument/2006/relationships/hyperlink" Id="rId23" Target="https://www.japaneselawtranslation.go.jp/en/laws/view/3078" TargetMode="External" /><Relationship Type="http://schemas.openxmlformats.org/officeDocument/2006/relationships/hyperlink" Id="rId10" Target="https://www.ly.gov.tw/Pages/List.aspx?nodeid=109" TargetMode="External" /><Relationship Type="http://schemas.openxmlformats.org/officeDocument/2006/relationships/hyperlink" Id="rId84" Target="https://x.com/dAAAb" TargetMode="External" /></Relationships>
</file>

<file path=word/_rels/footnotes.xml.rels><?xml version="1.0" encoding="UTF-8"?><Relationships xmlns="http://schemas.openxmlformats.org/package/2006/relationships"><Relationship Type="http://schemas.openxmlformats.org/officeDocument/2006/relationships/hyperlink" Id="rId79" Target="/files/vasp-act-legislative-notes/VASP-Act-Draft_Bilingual-v1.1.docx" TargetMode="External" /><Relationship Type="http://schemas.openxmlformats.org/officeDocument/2006/relationships/hyperlink" Id="rId78" Target="/files/vasp-act-legislative-notes/VASP-Act-Draft_Bilingual-v1.1.pdf" TargetMode="External" /><Relationship Type="http://schemas.openxmlformats.org/officeDocument/2006/relationships/hyperlink" Id="rId85" Target="https://blog.juchunko.com" TargetMode="External" /><Relationship Type="http://schemas.openxmlformats.org/officeDocument/2006/relationships/hyperlink" Id="rId77" Target="https://blog.juchunko.com/zh/vasp-act-legislative-notes/" TargetMode="External" /><Relationship Type="http://schemas.openxmlformats.org/officeDocument/2006/relationships/hyperlink" Id="rId21" Target="https://elaw.klri.re.kr/eng_service/lawView.do?hseq=58807&amp;lang=ENG" TargetMode="External" /><Relationship Type="http://schemas.openxmlformats.org/officeDocument/2006/relationships/hyperlink" Id="rId20" Target="https://eur-lex.europa.eu/legal-content/EN/TXT/?uri=CELEX%3A32023R1114" TargetMode="External" /><Relationship Type="http://schemas.openxmlformats.org/officeDocument/2006/relationships/hyperlink" Id="rId9" Target="https://ivod.ly.gov.tw/Play/Full/1M/17485" TargetMode="External" /><Relationship Type="http://schemas.openxmlformats.org/officeDocument/2006/relationships/hyperlink" Id="rId81" Target="https://law.fsc.gov.tw/EngLawContent.aspx?lan=E&amp;id=2734" TargetMode="External" /><Relationship Type="http://schemas.openxmlformats.org/officeDocument/2006/relationships/hyperlink" Id="rId31" Target="https://ppg.ly.gov.tw/ppg/" TargetMode="External" /><Relationship Type="http://schemas.openxmlformats.org/officeDocument/2006/relationships/hyperlink" Id="rId13" Target="https://www.congress.gov/bill/119th-congress/house-bill/2392" TargetMode="External" /><Relationship Type="http://schemas.openxmlformats.org/officeDocument/2006/relationships/hyperlink" Id="rId22" Target="https://www.elegislation.gov.hk/hk/A506!en" TargetMode="External" /><Relationship Type="http://schemas.openxmlformats.org/officeDocument/2006/relationships/hyperlink" Id="rId14" Target="https://www.fatf-gafi.org/en/topics/virtual-assets.html" TargetMode="External" /><Relationship Type="http://schemas.openxmlformats.org/officeDocument/2006/relationships/hyperlink" Id="rId15" Target="https://www.iosco.org/library/pubdocs/pdf/IOSCOPD747.pdf" TargetMode="External" /><Relationship Type="http://schemas.openxmlformats.org/officeDocument/2006/relationships/hyperlink" Id="rId23" Target="https://www.japaneselawtranslation.go.jp/en/laws/view/3078" TargetMode="External" /><Relationship Type="http://schemas.openxmlformats.org/officeDocument/2006/relationships/hyperlink" Id="rId10" Target="https://www.ly.gov.tw/Pages/List.aspx?nodeid=109" TargetMode="External" /><Relationship Type="http://schemas.openxmlformats.org/officeDocument/2006/relationships/hyperlink" Id="rId84" Target="https://x.com/dAAAb"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2026-06-09T09:49:17Z</dcterms:created>
  <dcterms:modified xsi:type="dcterms:W3CDTF">2026-06-09T09:49:17Z</dcterms:modified>
</cp:coreProperties>
</file>

<file path=docProps/custom.xml><?xml version="1.0" encoding="utf-8"?>
<Properties xmlns="http://schemas.openxmlformats.org/officeDocument/2006/custom-properties" xmlns:vt="http://schemas.openxmlformats.org/officeDocument/2006/docPropsVTypes"/>
</file>