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ABA48" w14:textId="031BE079" w:rsidR="00812077" w:rsidRPr="00D337FD" w:rsidRDefault="00104224" w:rsidP="00104224">
      <w:pPr>
        <w:pBdr>
          <w:bottom w:val="single" w:sz="12" w:space="0" w:color="auto"/>
        </w:pBdr>
        <w:jc w:val="right"/>
        <w:rPr>
          <w:b/>
        </w:rPr>
      </w:pPr>
      <w:r w:rsidRPr="00D337FD">
        <w:rPr>
          <w:b/>
        </w:rPr>
        <w:t xml:space="preserve">ENGR </w:t>
      </w:r>
      <w:r w:rsidR="00457183">
        <w:rPr>
          <w:b/>
        </w:rPr>
        <w:t>4020</w:t>
      </w:r>
      <w:r w:rsidRPr="00D337FD">
        <w:rPr>
          <w:b/>
        </w:rPr>
        <w:t>:</w:t>
      </w:r>
      <w:r w:rsidR="00112D70" w:rsidRPr="00D337FD">
        <w:rPr>
          <w:b/>
        </w:rPr>
        <w:t xml:space="preserve"> </w:t>
      </w:r>
      <w:r w:rsidR="00457183">
        <w:rPr>
          <w:b/>
        </w:rPr>
        <w:t>Mechatronics System Design</w:t>
      </w:r>
      <w:r w:rsidR="00D8672E" w:rsidRPr="00D337FD">
        <w:rPr>
          <w:b/>
        </w:rPr>
        <w:t xml:space="preserve">  </w:t>
      </w:r>
      <w:r w:rsidRPr="00D337FD">
        <w:rPr>
          <w:b/>
        </w:rPr>
        <w:tab/>
      </w:r>
      <w:r w:rsidR="00D8672E" w:rsidRPr="00D337FD">
        <w:rPr>
          <w:b/>
        </w:rPr>
        <w:tab/>
      </w:r>
      <w:r w:rsidR="00262806" w:rsidRPr="00D337FD">
        <w:rPr>
          <w:b/>
        </w:rPr>
        <w:t xml:space="preserve">  </w:t>
      </w:r>
      <w:r w:rsidRPr="00D337FD">
        <w:rPr>
          <w:b/>
        </w:rPr>
        <w:tab/>
      </w:r>
      <w:r w:rsidR="00BA5F47" w:rsidRPr="00D337FD">
        <w:rPr>
          <w:b/>
        </w:rPr>
        <w:t xml:space="preserve">     </w:t>
      </w:r>
      <w:r w:rsidR="00262806" w:rsidRPr="00D337FD">
        <w:rPr>
          <w:b/>
        </w:rPr>
        <w:t xml:space="preserve">            </w:t>
      </w:r>
      <w:r w:rsidR="00DB3258" w:rsidRPr="00D337FD">
        <w:rPr>
          <w:b/>
        </w:rPr>
        <w:t>PID Tuning</w:t>
      </w:r>
    </w:p>
    <w:p w14:paraId="6FC89601" w14:textId="77777777" w:rsidR="00104224" w:rsidRPr="00D337FD" w:rsidRDefault="00104224">
      <w:pPr>
        <w:rPr>
          <w:b/>
        </w:rPr>
      </w:pPr>
    </w:p>
    <w:p w14:paraId="53739511" w14:textId="145CC11D" w:rsidR="00DB3258" w:rsidRPr="00457183" w:rsidRDefault="00DB3258" w:rsidP="00457183">
      <w:pPr>
        <w:rPr>
          <w:b/>
          <w:i/>
        </w:rPr>
      </w:pPr>
      <w:r w:rsidRPr="00457183">
        <w:rPr>
          <w:b/>
          <w:i/>
        </w:rPr>
        <w:t>Tuning Rules</w:t>
      </w:r>
    </w:p>
    <w:p w14:paraId="4C33ED7E" w14:textId="1130E2E4" w:rsidR="00DB3258" w:rsidRPr="00457183" w:rsidRDefault="00DB3258" w:rsidP="00457183">
      <w:pPr>
        <w:jc w:val="both"/>
      </w:pPr>
      <w:r w:rsidRPr="00457183">
        <w:t>If a mathematical model of the plant is available, it is always possible to apply various classical control design techniques, such as root locus or Bode plots (later), in order to determine controller parameters that meet desired design specifications.  On the other hand, if the plant is so complex that an accurate mathematical model cannot be derived easily, these classical control design techniques become difficult to apply in designing a general linear controller.  The alternative is to apply experimentally proven techniques for choosing the controller parameters, resulting in at least a starting point from which the controller can then be tuned.</w:t>
      </w:r>
    </w:p>
    <w:p w14:paraId="1B7D04F8" w14:textId="77777777" w:rsidR="00DB3258" w:rsidRPr="00D337FD" w:rsidRDefault="00DB3258" w:rsidP="00DB3258">
      <w:pPr>
        <w:pStyle w:val="ListParagraph"/>
        <w:ind w:left="360"/>
        <w:jc w:val="both"/>
        <w:rPr>
          <w:sz w:val="24"/>
          <w:szCs w:val="24"/>
        </w:rPr>
      </w:pPr>
    </w:p>
    <w:p w14:paraId="26346427" w14:textId="3EA1A967" w:rsidR="00DB3258" w:rsidRPr="00457183" w:rsidRDefault="00DB3258" w:rsidP="00457183">
      <w:pPr>
        <w:jc w:val="both"/>
      </w:pPr>
      <w:r w:rsidRPr="00457183">
        <w:t>In the early 1940’s, Ziegler and Nichols [1] published a work on the topic of tuning rules for determining PID controller gains based on observable behaviors of the system, such as the transient response of a given plant.  The motivation was primarily for applications to systems where the mathematical model of the plant was not known precisely, so that tuning of the PID parameters can be performed on site via experimental analysis with the plant.  These tuning rules are equally applicable to systems with known models.  The Ziegler-Nichols tuning rules consist basically of two methods, both of which are aimed at obtaining MP(%) = 25% in the step response.</w:t>
      </w:r>
    </w:p>
    <w:p w14:paraId="669D787B" w14:textId="77777777" w:rsidR="00457183" w:rsidRDefault="00457183" w:rsidP="00457183">
      <w:pPr>
        <w:jc w:val="both"/>
      </w:pPr>
    </w:p>
    <w:p w14:paraId="3F8373D3" w14:textId="40EDF7C5" w:rsidR="005F6295" w:rsidRPr="00D337FD" w:rsidRDefault="00457183" w:rsidP="00457183">
      <w:pPr>
        <w:jc w:val="both"/>
      </w:pPr>
      <w:r>
        <w:rPr>
          <w:b/>
        </w:rPr>
        <w:t>Tuning Method</w:t>
      </w:r>
      <w:r w:rsidR="005F6295" w:rsidRPr="00D337FD">
        <w:t xml:space="preserve">: The second Ziegler-Nichols method requires the following </w:t>
      </w:r>
      <w:r w:rsidR="005F6295" w:rsidRPr="00D337FD">
        <w:rPr>
          <w:i/>
        </w:rPr>
        <w:t>a priori</w:t>
      </w:r>
      <w:r w:rsidR="005F6295" w:rsidRPr="00D337FD">
        <w:t xml:space="preserve"> information.</w:t>
      </w:r>
    </w:p>
    <w:p w14:paraId="654E1493" w14:textId="77777777" w:rsidR="00457183" w:rsidRDefault="00457183" w:rsidP="00457183">
      <w:pPr>
        <w:jc w:val="both"/>
        <w:rPr>
          <w:u w:val="single"/>
        </w:rPr>
      </w:pPr>
    </w:p>
    <w:p w14:paraId="3EACF493" w14:textId="09B0F906" w:rsidR="00DB3258" w:rsidRPr="00457183" w:rsidRDefault="005F6295" w:rsidP="00457183">
      <w:pPr>
        <w:jc w:val="both"/>
      </w:pPr>
      <w:r w:rsidRPr="00457183">
        <w:rPr>
          <w:u w:val="single"/>
        </w:rPr>
        <w:t>Assumption</w:t>
      </w:r>
      <w:r w:rsidRPr="00457183">
        <w:t>: In a unity feedback configuration, the plant output exhibits sustained oscillations, that is, resembles a pure sinusoid for some proportional gain value K</w:t>
      </w:r>
      <w:r w:rsidRPr="00457183">
        <w:rPr>
          <w:vertAlign w:val="subscript"/>
        </w:rPr>
        <w:t>P</w:t>
      </w:r>
      <w:r w:rsidRPr="00457183">
        <w:t xml:space="preserve">. </w:t>
      </w:r>
    </w:p>
    <w:p w14:paraId="25B3961D" w14:textId="77777777" w:rsidR="00457183" w:rsidRDefault="00457183" w:rsidP="00457183">
      <w:pPr>
        <w:jc w:val="both"/>
      </w:pPr>
    </w:p>
    <w:p w14:paraId="46ED0299" w14:textId="5A70D1A4" w:rsidR="005F6295" w:rsidRPr="00457183" w:rsidRDefault="005F6295" w:rsidP="00457183">
      <w:pPr>
        <w:jc w:val="both"/>
      </w:pPr>
      <w:r w:rsidRPr="00457183">
        <w:t>This method consists of increasing only the proportional gain, K</w:t>
      </w:r>
      <w:r w:rsidRPr="00457183">
        <w:rPr>
          <w:vertAlign w:val="subscript"/>
        </w:rPr>
        <w:t>P</w:t>
      </w:r>
      <w:r w:rsidRPr="00457183">
        <w:t xml:space="preserve"> in a unity feedback configuration precisely to the point where the output first exhibits sustained oscillations.  Recall from the root locus analysis that the value for K</w:t>
      </w:r>
      <w:r w:rsidRPr="00457183">
        <w:rPr>
          <w:vertAlign w:val="subscript"/>
        </w:rPr>
        <w:t>P</w:t>
      </w:r>
      <w:r w:rsidRPr="00457183">
        <w:t xml:space="preserve"> at which the </w:t>
      </w:r>
      <m:oMath>
        <m:r>
          <w:rPr>
            <w:rFonts w:ascii="Cambria Math" w:hAnsi="Cambria Math"/>
          </w:rPr>
          <m:t>jω</m:t>
        </m:r>
      </m:oMath>
      <w:r w:rsidRPr="00457183">
        <w:t xml:space="preserve"> axis crossover occurs and is referred to as the critical gain, K</w:t>
      </w:r>
      <w:r w:rsidRPr="00457183">
        <w:rPr>
          <w:vertAlign w:val="subscript"/>
        </w:rPr>
        <w:t>cr</w:t>
      </w:r>
      <w:r w:rsidRPr="00457183">
        <w:t>.  When K</w:t>
      </w:r>
      <w:r w:rsidRPr="00457183">
        <w:rPr>
          <w:vertAlign w:val="subscript"/>
        </w:rPr>
        <w:t>P</w:t>
      </w:r>
      <w:r w:rsidRPr="00457183">
        <w:t>=</w:t>
      </w:r>
      <w:proofErr w:type="spellStart"/>
      <w:r w:rsidRPr="00457183">
        <w:t>K</w:t>
      </w:r>
      <w:r w:rsidRPr="00457183">
        <w:rPr>
          <w:vertAlign w:val="subscript"/>
        </w:rPr>
        <w:t>cr</w:t>
      </w:r>
      <w:proofErr w:type="spellEnd"/>
      <w:r w:rsidRPr="00457183">
        <w:t xml:space="preserve">, the system output will behave as a sinusoid at the frequency </w:t>
      </w:r>
      <w:proofErr w:type="spellStart"/>
      <w:r w:rsidRPr="00457183">
        <w:rPr>
          <w:i/>
        </w:rPr>
        <w:t>f</w:t>
      </w:r>
      <w:r w:rsidRPr="00457183">
        <w:rPr>
          <w:i/>
          <w:vertAlign w:val="subscript"/>
        </w:rPr>
        <w:t>o</w:t>
      </w:r>
      <w:proofErr w:type="spellEnd"/>
      <w:r w:rsidRPr="00457183">
        <w:t xml:space="preserve"> Hz.  The tuning rules for the controller are given in Table </w:t>
      </w:r>
      <w:r w:rsidR="00457183">
        <w:rPr>
          <w:u w:val="single"/>
        </w:rPr>
        <w:t>1</w:t>
      </w:r>
      <w:r w:rsidRPr="00457183">
        <w:t>.</w:t>
      </w:r>
    </w:p>
    <w:p w14:paraId="3E8770DF" w14:textId="15FE3623" w:rsidR="005F6295" w:rsidRPr="00D337FD" w:rsidRDefault="005F6295" w:rsidP="005F6295">
      <w:pPr>
        <w:jc w:val="center"/>
      </w:pPr>
      <w:r w:rsidRPr="00D337FD">
        <w:t xml:space="preserve">Table </w:t>
      </w:r>
      <w:r w:rsidR="00457183">
        <w:t>1</w:t>
      </w:r>
      <w:r w:rsidRPr="00D337FD">
        <w:t>: Tuning rules for second Ziegler-Nichols method</w:t>
      </w:r>
    </w:p>
    <w:tbl>
      <w:tblPr>
        <w:tblStyle w:val="TableGrid"/>
        <w:tblW w:w="0" w:type="auto"/>
        <w:tblLook w:val="04A0" w:firstRow="1" w:lastRow="0" w:firstColumn="1" w:lastColumn="0" w:noHBand="0" w:noVBand="1"/>
      </w:tblPr>
      <w:tblGrid>
        <w:gridCol w:w="2214"/>
        <w:gridCol w:w="2214"/>
        <w:gridCol w:w="2214"/>
        <w:gridCol w:w="2214"/>
      </w:tblGrid>
      <w:tr w:rsidR="005F6295" w:rsidRPr="00D337FD" w14:paraId="76D82CA8" w14:textId="77777777" w:rsidTr="005F6295">
        <w:tc>
          <w:tcPr>
            <w:tcW w:w="2214" w:type="dxa"/>
            <w:tcBorders>
              <w:bottom w:val="single" w:sz="4" w:space="0" w:color="auto"/>
              <w:right w:val="single" w:sz="4" w:space="0" w:color="auto"/>
            </w:tcBorders>
          </w:tcPr>
          <w:p w14:paraId="6D01F6F2" w14:textId="77777777" w:rsidR="005F6295" w:rsidRPr="00D337FD" w:rsidRDefault="005F6295" w:rsidP="005F6295">
            <w:pPr>
              <w:jc w:val="center"/>
            </w:pPr>
            <w:r w:rsidRPr="00D337FD">
              <w:t>Controller Type</w:t>
            </w:r>
          </w:p>
        </w:tc>
        <w:tc>
          <w:tcPr>
            <w:tcW w:w="2214" w:type="dxa"/>
            <w:tcBorders>
              <w:top w:val="single" w:sz="4" w:space="0" w:color="auto"/>
              <w:left w:val="single" w:sz="4" w:space="0" w:color="auto"/>
              <w:bottom w:val="single" w:sz="4" w:space="0" w:color="auto"/>
              <w:right w:val="nil"/>
            </w:tcBorders>
          </w:tcPr>
          <w:p w14:paraId="7F6B9D3E" w14:textId="77777777" w:rsidR="005F6295" w:rsidRPr="00D337FD" w:rsidRDefault="005F6295" w:rsidP="005F6295">
            <w:pPr>
              <w:jc w:val="center"/>
            </w:pPr>
            <w:r w:rsidRPr="00D337FD">
              <w:t>K</w:t>
            </w:r>
            <w:r w:rsidRPr="00D337FD">
              <w:rPr>
                <w:vertAlign w:val="subscript"/>
              </w:rPr>
              <w:t>P</w:t>
            </w:r>
          </w:p>
        </w:tc>
        <w:tc>
          <w:tcPr>
            <w:tcW w:w="2214" w:type="dxa"/>
            <w:tcBorders>
              <w:top w:val="single" w:sz="4" w:space="0" w:color="auto"/>
              <w:left w:val="nil"/>
              <w:bottom w:val="single" w:sz="4" w:space="0" w:color="auto"/>
              <w:right w:val="nil"/>
            </w:tcBorders>
          </w:tcPr>
          <w:p w14:paraId="5E7C5320" w14:textId="77777777" w:rsidR="005F6295" w:rsidRPr="00D337FD" w:rsidRDefault="005F6295" w:rsidP="005F6295">
            <w:pPr>
              <w:jc w:val="center"/>
            </w:pPr>
            <w:r w:rsidRPr="00D337FD">
              <w:t>K</w:t>
            </w:r>
            <w:r w:rsidRPr="00D337FD">
              <w:rPr>
                <w:vertAlign w:val="subscript"/>
              </w:rPr>
              <w:t>I</w:t>
            </w:r>
          </w:p>
        </w:tc>
        <w:tc>
          <w:tcPr>
            <w:tcW w:w="2214" w:type="dxa"/>
            <w:tcBorders>
              <w:top w:val="single" w:sz="4" w:space="0" w:color="auto"/>
              <w:left w:val="nil"/>
              <w:bottom w:val="single" w:sz="4" w:space="0" w:color="auto"/>
              <w:right w:val="single" w:sz="4" w:space="0" w:color="auto"/>
            </w:tcBorders>
          </w:tcPr>
          <w:p w14:paraId="628DD95A" w14:textId="77777777" w:rsidR="005F6295" w:rsidRPr="00D337FD" w:rsidRDefault="005F6295" w:rsidP="005F6295">
            <w:pPr>
              <w:jc w:val="center"/>
            </w:pPr>
            <w:r w:rsidRPr="00D337FD">
              <w:t>K</w:t>
            </w:r>
            <w:r w:rsidRPr="00D337FD">
              <w:rPr>
                <w:vertAlign w:val="subscript"/>
              </w:rPr>
              <w:t>D</w:t>
            </w:r>
          </w:p>
        </w:tc>
      </w:tr>
      <w:tr w:rsidR="005F6295" w:rsidRPr="00D337FD" w14:paraId="7153B275" w14:textId="77777777" w:rsidTr="005F6295">
        <w:tc>
          <w:tcPr>
            <w:tcW w:w="2214" w:type="dxa"/>
            <w:tcBorders>
              <w:top w:val="single" w:sz="4" w:space="0" w:color="auto"/>
              <w:left w:val="single" w:sz="4" w:space="0" w:color="auto"/>
              <w:bottom w:val="nil"/>
              <w:right w:val="single" w:sz="4" w:space="0" w:color="auto"/>
            </w:tcBorders>
          </w:tcPr>
          <w:p w14:paraId="5E361680" w14:textId="77777777" w:rsidR="005F6295" w:rsidRPr="00D337FD" w:rsidRDefault="005F6295" w:rsidP="005F6295">
            <w:pPr>
              <w:jc w:val="center"/>
            </w:pPr>
            <w:r w:rsidRPr="00D337FD">
              <w:t>P</w:t>
            </w:r>
          </w:p>
        </w:tc>
        <w:tc>
          <w:tcPr>
            <w:tcW w:w="2214" w:type="dxa"/>
            <w:tcBorders>
              <w:top w:val="single" w:sz="4" w:space="0" w:color="auto"/>
              <w:left w:val="single" w:sz="4" w:space="0" w:color="auto"/>
              <w:bottom w:val="nil"/>
              <w:right w:val="nil"/>
            </w:tcBorders>
          </w:tcPr>
          <w:p w14:paraId="5C0A14E0" w14:textId="6F534CAD" w:rsidR="005F6295" w:rsidRPr="00D337FD" w:rsidRDefault="005F6295" w:rsidP="005F6295">
            <w:pPr>
              <w:jc w:val="both"/>
            </w:pPr>
            <m:oMathPara>
              <m:oMath>
                <m:r>
                  <w:rPr>
                    <w:rFonts w:ascii="Cambria Math" w:hAnsi="Cambria Math"/>
                  </w:rPr>
                  <m:t>0.5</m:t>
                </m:r>
                <m:sSub>
                  <m:sSubPr>
                    <m:ctrlPr>
                      <w:rPr>
                        <w:rFonts w:ascii="Cambria Math" w:hAnsi="Cambria Math"/>
                        <w:i/>
                      </w:rPr>
                    </m:ctrlPr>
                  </m:sSubPr>
                  <m:e>
                    <m:r>
                      <w:rPr>
                        <w:rFonts w:ascii="Cambria Math" w:hAnsi="Cambria Math"/>
                      </w:rPr>
                      <m:t>K</m:t>
                    </m:r>
                  </m:e>
                  <m:sub>
                    <m:r>
                      <w:rPr>
                        <w:rFonts w:ascii="Cambria Math" w:hAnsi="Cambria Math"/>
                      </w:rPr>
                      <m:t>cr</m:t>
                    </m:r>
                  </m:sub>
                </m:sSub>
              </m:oMath>
            </m:oMathPara>
          </w:p>
          <w:p w14:paraId="09CFB031" w14:textId="77777777" w:rsidR="005F6295" w:rsidRPr="00D337FD" w:rsidRDefault="005F6295" w:rsidP="005F6295">
            <w:pPr>
              <w:jc w:val="both"/>
            </w:pPr>
          </w:p>
        </w:tc>
        <w:tc>
          <w:tcPr>
            <w:tcW w:w="2214" w:type="dxa"/>
            <w:tcBorders>
              <w:top w:val="single" w:sz="4" w:space="0" w:color="auto"/>
              <w:left w:val="nil"/>
              <w:bottom w:val="nil"/>
              <w:right w:val="nil"/>
            </w:tcBorders>
          </w:tcPr>
          <w:p w14:paraId="7FA700F8" w14:textId="77777777" w:rsidR="005F6295" w:rsidRPr="00D337FD" w:rsidRDefault="005F6295" w:rsidP="005F6295">
            <w:pPr>
              <w:jc w:val="center"/>
            </w:pPr>
            <w:r w:rsidRPr="00D337FD">
              <w:t>0</w:t>
            </w:r>
          </w:p>
        </w:tc>
        <w:tc>
          <w:tcPr>
            <w:tcW w:w="2214" w:type="dxa"/>
            <w:tcBorders>
              <w:top w:val="single" w:sz="4" w:space="0" w:color="auto"/>
              <w:left w:val="nil"/>
              <w:bottom w:val="nil"/>
              <w:right w:val="single" w:sz="4" w:space="0" w:color="auto"/>
            </w:tcBorders>
          </w:tcPr>
          <w:p w14:paraId="44DD1AA3" w14:textId="77777777" w:rsidR="005F6295" w:rsidRPr="00D337FD" w:rsidRDefault="005F6295" w:rsidP="005F6295">
            <w:pPr>
              <w:jc w:val="center"/>
            </w:pPr>
            <w:r w:rsidRPr="00D337FD">
              <w:t>0</w:t>
            </w:r>
          </w:p>
        </w:tc>
      </w:tr>
      <w:tr w:rsidR="005F6295" w:rsidRPr="00D337FD" w14:paraId="07C53A6F" w14:textId="77777777" w:rsidTr="005F6295">
        <w:trPr>
          <w:trHeight w:val="216"/>
        </w:trPr>
        <w:tc>
          <w:tcPr>
            <w:tcW w:w="2214" w:type="dxa"/>
            <w:tcBorders>
              <w:top w:val="nil"/>
              <w:left w:val="single" w:sz="4" w:space="0" w:color="auto"/>
              <w:bottom w:val="nil"/>
              <w:right w:val="single" w:sz="4" w:space="0" w:color="auto"/>
            </w:tcBorders>
          </w:tcPr>
          <w:p w14:paraId="32F22B24" w14:textId="77777777" w:rsidR="005F6295" w:rsidRPr="00D337FD" w:rsidRDefault="005F6295" w:rsidP="005F6295">
            <w:pPr>
              <w:jc w:val="center"/>
            </w:pPr>
            <w:r w:rsidRPr="00D337FD">
              <w:t>PI</w:t>
            </w:r>
          </w:p>
        </w:tc>
        <w:tc>
          <w:tcPr>
            <w:tcW w:w="2214" w:type="dxa"/>
            <w:tcBorders>
              <w:top w:val="nil"/>
              <w:left w:val="single" w:sz="4" w:space="0" w:color="auto"/>
              <w:bottom w:val="nil"/>
              <w:right w:val="nil"/>
            </w:tcBorders>
          </w:tcPr>
          <w:p w14:paraId="0F6DC8A4" w14:textId="564255A1" w:rsidR="005F6295" w:rsidRPr="00D337FD" w:rsidRDefault="005F6295" w:rsidP="005F6295">
            <w:pPr>
              <w:jc w:val="both"/>
            </w:pPr>
            <m:oMathPara>
              <m:oMath>
                <m:r>
                  <w:rPr>
                    <w:rFonts w:ascii="Cambria Math" w:hAnsi="Cambria Math"/>
                  </w:rPr>
                  <m:t>0.45</m:t>
                </m:r>
                <m:sSub>
                  <m:sSubPr>
                    <m:ctrlPr>
                      <w:rPr>
                        <w:rFonts w:ascii="Cambria Math" w:hAnsi="Cambria Math"/>
                        <w:i/>
                      </w:rPr>
                    </m:ctrlPr>
                  </m:sSubPr>
                  <m:e>
                    <m:r>
                      <w:rPr>
                        <w:rFonts w:ascii="Cambria Math" w:hAnsi="Cambria Math"/>
                      </w:rPr>
                      <m:t>K</m:t>
                    </m:r>
                  </m:e>
                  <m:sub>
                    <m:r>
                      <w:rPr>
                        <w:rFonts w:ascii="Cambria Math" w:hAnsi="Cambria Math"/>
                      </w:rPr>
                      <m:t>cr</m:t>
                    </m:r>
                  </m:sub>
                </m:sSub>
              </m:oMath>
            </m:oMathPara>
          </w:p>
        </w:tc>
        <w:tc>
          <w:tcPr>
            <w:tcW w:w="2214" w:type="dxa"/>
            <w:tcBorders>
              <w:top w:val="nil"/>
              <w:left w:val="nil"/>
              <w:bottom w:val="nil"/>
              <w:right w:val="nil"/>
            </w:tcBorders>
          </w:tcPr>
          <w:p w14:paraId="01B6F6C7" w14:textId="39AB56B5" w:rsidR="005F6295" w:rsidRPr="00D337FD" w:rsidRDefault="005F6295" w:rsidP="005F6295">
            <w:pPr>
              <w:jc w:val="both"/>
            </w:pPr>
            <m:oMathPara>
              <m:oMath>
                <m:r>
                  <w:rPr>
                    <w:rFonts w:ascii="Cambria Math" w:hAnsi="Cambria Math"/>
                  </w:rPr>
                  <m:t>0.54</m:t>
                </m:r>
                <m:sSub>
                  <m:sSubPr>
                    <m:ctrlPr>
                      <w:rPr>
                        <w:rFonts w:ascii="Cambria Math" w:hAnsi="Cambria Math"/>
                        <w:i/>
                      </w:rPr>
                    </m:ctrlPr>
                  </m:sSubPr>
                  <m:e>
                    <m:r>
                      <w:rPr>
                        <w:rFonts w:ascii="Cambria Math" w:hAnsi="Cambria Math"/>
                      </w:rPr>
                      <m:t>f</m:t>
                    </m:r>
                  </m:e>
                  <m:sub>
                    <m:r>
                      <w:rPr>
                        <w:rFonts w:ascii="Cambria Math" w:hAnsi="Cambria Math"/>
                      </w:rPr>
                      <m:t>o</m:t>
                    </m:r>
                  </m:sub>
                </m:sSub>
                <m:sSub>
                  <m:sSubPr>
                    <m:ctrlPr>
                      <w:rPr>
                        <w:rFonts w:ascii="Cambria Math" w:hAnsi="Cambria Math"/>
                        <w:i/>
                      </w:rPr>
                    </m:ctrlPr>
                  </m:sSubPr>
                  <m:e>
                    <m:r>
                      <w:rPr>
                        <w:rFonts w:ascii="Cambria Math" w:hAnsi="Cambria Math"/>
                      </w:rPr>
                      <m:t>K</m:t>
                    </m:r>
                  </m:e>
                  <m:sub>
                    <m:r>
                      <w:rPr>
                        <w:rFonts w:ascii="Cambria Math" w:hAnsi="Cambria Math"/>
                      </w:rPr>
                      <m:t>cr</m:t>
                    </m:r>
                  </m:sub>
                </m:sSub>
              </m:oMath>
            </m:oMathPara>
          </w:p>
        </w:tc>
        <w:tc>
          <w:tcPr>
            <w:tcW w:w="2214" w:type="dxa"/>
            <w:tcBorders>
              <w:top w:val="nil"/>
              <w:left w:val="nil"/>
              <w:bottom w:val="nil"/>
              <w:right w:val="single" w:sz="4" w:space="0" w:color="auto"/>
            </w:tcBorders>
          </w:tcPr>
          <w:p w14:paraId="6325D06F" w14:textId="77777777" w:rsidR="005F6295" w:rsidRPr="00D337FD" w:rsidRDefault="005F6295" w:rsidP="005F6295">
            <w:pPr>
              <w:jc w:val="center"/>
            </w:pPr>
            <w:r w:rsidRPr="00D337FD">
              <w:t>0</w:t>
            </w:r>
          </w:p>
          <w:p w14:paraId="3CBA2F9B" w14:textId="77777777" w:rsidR="005F6295" w:rsidRPr="00D337FD" w:rsidRDefault="005F6295" w:rsidP="005F6295">
            <w:pPr>
              <w:jc w:val="center"/>
            </w:pPr>
          </w:p>
          <w:p w14:paraId="4DC132C3" w14:textId="77777777" w:rsidR="005F6295" w:rsidRPr="00D337FD" w:rsidRDefault="005F6295" w:rsidP="005F6295">
            <w:pPr>
              <w:jc w:val="center"/>
            </w:pPr>
          </w:p>
        </w:tc>
      </w:tr>
      <w:tr w:rsidR="005F6295" w:rsidRPr="00D337FD" w14:paraId="715AD09A" w14:textId="77777777" w:rsidTr="005F6295">
        <w:tc>
          <w:tcPr>
            <w:tcW w:w="2214" w:type="dxa"/>
            <w:tcBorders>
              <w:top w:val="nil"/>
              <w:left w:val="single" w:sz="4" w:space="0" w:color="auto"/>
              <w:bottom w:val="single" w:sz="4" w:space="0" w:color="auto"/>
              <w:right w:val="single" w:sz="4" w:space="0" w:color="auto"/>
            </w:tcBorders>
          </w:tcPr>
          <w:p w14:paraId="345F74C3" w14:textId="77777777" w:rsidR="005F6295" w:rsidRPr="00D337FD" w:rsidRDefault="005F6295" w:rsidP="005F6295">
            <w:pPr>
              <w:jc w:val="center"/>
            </w:pPr>
            <w:r w:rsidRPr="00D337FD">
              <w:t>PID</w:t>
            </w:r>
          </w:p>
        </w:tc>
        <w:tc>
          <w:tcPr>
            <w:tcW w:w="2214" w:type="dxa"/>
            <w:tcBorders>
              <w:top w:val="nil"/>
              <w:left w:val="single" w:sz="4" w:space="0" w:color="auto"/>
              <w:bottom w:val="single" w:sz="4" w:space="0" w:color="auto"/>
              <w:right w:val="nil"/>
            </w:tcBorders>
          </w:tcPr>
          <w:p w14:paraId="4D0F3EC5" w14:textId="22B9C47C" w:rsidR="005F6295" w:rsidRPr="00D337FD" w:rsidRDefault="00381C4A" w:rsidP="005F6295">
            <w:pPr>
              <w:jc w:val="both"/>
            </w:pPr>
            <m:oMathPara>
              <m:oMath>
                <m:r>
                  <w:rPr>
                    <w:rFonts w:ascii="Cambria Math" w:hAnsi="Cambria Math"/>
                  </w:rPr>
                  <m:t>0.6</m:t>
                </m:r>
                <m:sSub>
                  <m:sSubPr>
                    <m:ctrlPr>
                      <w:rPr>
                        <w:rFonts w:ascii="Cambria Math" w:hAnsi="Cambria Math"/>
                        <w:i/>
                      </w:rPr>
                    </m:ctrlPr>
                  </m:sSubPr>
                  <m:e>
                    <m:r>
                      <w:rPr>
                        <w:rFonts w:ascii="Cambria Math" w:hAnsi="Cambria Math"/>
                      </w:rPr>
                      <m:t>K</m:t>
                    </m:r>
                  </m:e>
                  <m:sub>
                    <m:r>
                      <w:rPr>
                        <w:rFonts w:ascii="Cambria Math" w:hAnsi="Cambria Math"/>
                      </w:rPr>
                      <m:t>cr</m:t>
                    </m:r>
                  </m:sub>
                </m:sSub>
              </m:oMath>
            </m:oMathPara>
          </w:p>
        </w:tc>
        <w:tc>
          <w:tcPr>
            <w:tcW w:w="2214" w:type="dxa"/>
            <w:tcBorders>
              <w:top w:val="nil"/>
              <w:left w:val="nil"/>
              <w:bottom w:val="single" w:sz="4" w:space="0" w:color="auto"/>
              <w:right w:val="nil"/>
            </w:tcBorders>
          </w:tcPr>
          <w:p w14:paraId="5CE7F4EA" w14:textId="766F1D58" w:rsidR="005F6295" w:rsidRPr="00D337FD" w:rsidRDefault="00381C4A" w:rsidP="00381C4A">
            <w:pPr>
              <w:jc w:val="both"/>
            </w:pPr>
            <m:oMathPara>
              <m:oMath>
                <m:r>
                  <w:rPr>
                    <w:rFonts w:ascii="Cambria Math" w:hAnsi="Cambria Math"/>
                  </w:rPr>
                  <m:t>1.2</m:t>
                </m:r>
                <m:sSub>
                  <m:sSubPr>
                    <m:ctrlPr>
                      <w:rPr>
                        <w:rFonts w:ascii="Cambria Math" w:hAnsi="Cambria Math"/>
                        <w:i/>
                      </w:rPr>
                    </m:ctrlPr>
                  </m:sSubPr>
                  <m:e>
                    <m:r>
                      <w:rPr>
                        <w:rFonts w:ascii="Cambria Math" w:hAnsi="Cambria Math"/>
                      </w:rPr>
                      <m:t>f</m:t>
                    </m:r>
                  </m:e>
                  <m:sub>
                    <m:r>
                      <w:rPr>
                        <w:rFonts w:ascii="Cambria Math" w:hAnsi="Cambria Math"/>
                      </w:rPr>
                      <m:t>o</m:t>
                    </m:r>
                  </m:sub>
                </m:sSub>
                <m:sSub>
                  <m:sSubPr>
                    <m:ctrlPr>
                      <w:rPr>
                        <w:rFonts w:ascii="Cambria Math" w:hAnsi="Cambria Math"/>
                        <w:i/>
                      </w:rPr>
                    </m:ctrlPr>
                  </m:sSubPr>
                  <m:e>
                    <m:r>
                      <w:rPr>
                        <w:rFonts w:ascii="Cambria Math" w:hAnsi="Cambria Math"/>
                      </w:rPr>
                      <m:t>K</m:t>
                    </m:r>
                  </m:e>
                  <m:sub>
                    <m:r>
                      <w:rPr>
                        <w:rFonts w:ascii="Cambria Math" w:hAnsi="Cambria Math"/>
                      </w:rPr>
                      <m:t>cr</m:t>
                    </m:r>
                  </m:sub>
                </m:sSub>
              </m:oMath>
            </m:oMathPara>
          </w:p>
        </w:tc>
        <w:tc>
          <w:tcPr>
            <w:tcW w:w="2214" w:type="dxa"/>
            <w:tcBorders>
              <w:top w:val="nil"/>
              <w:left w:val="nil"/>
              <w:bottom w:val="single" w:sz="4" w:space="0" w:color="auto"/>
              <w:right w:val="single" w:sz="4" w:space="0" w:color="auto"/>
            </w:tcBorders>
          </w:tcPr>
          <w:p w14:paraId="2B156591" w14:textId="77777777" w:rsidR="005F6295" w:rsidRPr="00D337FD" w:rsidRDefault="00EA624A" w:rsidP="005F6295">
            <w:pPr>
              <w:jc w:val="both"/>
            </w:pPr>
            <m:oMathPara>
              <m:oMath>
                <m:f>
                  <m:fPr>
                    <m:ctrlPr>
                      <w:rPr>
                        <w:rFonts w:ascii="Cambria Math" w:hAnsi="Cambria Math"/>
                        <w:i/>
                      </w:rPr>
                    </m:ctrlPr>
                  </m:fPr>
                  <m:num>
                    <m:r>
                      <w:rPr>
                        <w:rFonts w:ascii="Cambria Math" w:hAnsi="Cambria Math"/>
                      </w:rPr>
                      <m:t>0.075</m:t>
                    </m:r>
                    <m:sSub>
                      <m:sSubPr>
                        <m:ctrlPr>
                          <w:rPr>
                            <w:rFonts w:ascii="Cambria Math" w:hAnsi="Cambria Math"/>
                            <w:i/>
                          </w:rPr>
                        </m:ctrlPr>
                      </m:sSubPr>
                      <m:e>
                        <m:r>
                          <w:rPr>
                            <w:rFonts w:ascii="Cambria Math" w:hAnsi="Cambria Math"/>
                          </w:rPr>
                          <m:t>K</m:t>
                        </m:r>
                      </m:e>
                      <m:sub>
                        <m:r>
                          <w:rPr>
                            <w:rFonts w:ascii="Cambria Math" w:hAnsi="Cambria Math"/>
                          </w:rPr>
                          <m:t>cr</m:t>
                        </m:r>
                      </m:sub>
                    </m:sSub>
                  </m:num>
                  <m:den>
                    <m:sSub>
                      <m:sSubPr>
                        <m:ctrlPr>
                          <w:rPr>
                            <w:rFonts w:ascii="Cambria Math" w:hAnsi="Cambria Math"/>
                            <w:i/>
                          </w:rPr>
                        </m:ctrlPr>
                      </m:sSubPr>
                      <m:e>
                        <m:r>
                          <w:rPr>
                            <w:rFonts w:ascii="Cambria Math" w:hAnsi="Cambria Math"/>
                          </w:rPr>
                          <m:t>f</m:t>
                        </m:r>
                      </m:e>
                      <m:sub>
                        <m:r>
                          <w:rPr>
                            <w:rFonts w:ascii="Cambria Math" w:hAnsi="Cambria Math"/>
                          </w:rPr>
                          <m:t>o</m:t>
                        </m:r>
                      </m:sub>
                    </m:sSub>
                  </m:den>
                </m:f>
              </m:oMath>
            </m:oMathPara>
          </w:p>
          <w:p w14:paraId="57CD12E5" w14:textId="121E2F9D" w:rsidR="00381C4A" w:rsidRPr="00D337FD" w:rsidRDefault="00381C4A" w:rsidP="005F6295">
            <w:pPr>
              <w:jc w:val="both"/>
            </w:pPr>
          </w:p>
        </w:tc>
      </w:tr>
    </w:tbl>
    <w:p w14:paraId="24BF2177" w14:textId="77777777" w:rsidR="00DB3258" w:rsidRPr="00D337FD" w:rsidRDefault="00DB3258">
      <w:pPr>
        <w:rPr>
          <w:b/>
        </w:rPr>
      </w:pPr>
    </w:p>
    <w:p w14:paraId="6732BD2E" w14:textId="2B05638C" w:rsidR="00CE687B" w:rsidRPr="00D337FD" w:rsidRDefault="00CE687B">
      <w:r w:rsidRPr="00D337FD">
        <w:t>Plants for which the Ziegler-Nichols, the tuning rules can be applied will exhibit maximum closed loop step response percent overshoot values ranging between between 10% and 60%.  The average maximum percent overshoot is 25% based on the tables given.</w:t>
      </w:r>
    </w:p>
    <w:p w14:paraId="394F1C81" w14:textId="77777777" w:rsidR="00CE687B" w:rsidRPr="00D337FD" w:rsidRDefault="00CE687B"/>
    <w:p w14:paraId="56083709" w14:textId="6FA3348E" w:rsidR="00104224" w:rsidRPr="00D337FD" w:rsidRDefault="00104224">
      <w:pPr>
        <w:rPr>
          <w:b/>
        </w:rPr>
      </w:pPr>
      <w:r w:rsidRPr="00D337FD">
        <w:rPr>
          <w:b/>
        </w:rPr>
        <w:t>Procedure</w:t>
      </w:r>
    </w:p>
    <w:p w14:paraId="435903FC" w14:textId="13AD990C" w:rsidR="00262806" w:rsidRPr="00D337FD" w:rsidRDefault="00CE687B" w:rsidP="00262806">
      <w:pPr>
        <w:pStyle w:val="ListParagraph"/>
        <w:numPr>
          <w:ilvl w:val="0"/>
          <w:numId w:val="7"/>
        </w:numPr>
        <w:spacing w:after="120"/>
        <w:ind w:left="394" w:hangingChars="164" w:hanging="394"/>
        <w:jc w:val="both"/>
        <w:rPr>
          <w:rFonts w:cs="Times New Roman"/>
          <w:sz w:val="24"/>
          <w:szCs w:val="24"/>
        </w:rPr>
      </w:pPr>
      <w:r w:rsidRPr="00D337FD">
        <w:rPr>
          <w:rFonts w:cs="Times New Roman"/>
          <w:sz w:val="24"/>
          <w:szCs w:val="24"/>
        </w:rPr>
        <w:t>For the plant</w:t>
      </w:r>
    </w:p>
    <w:p w14:paraId="15C0774E" w14:textId="5B942479" w:rsidR="00CE687B" w:rsidRPr="00D337FD" w:rsidRDefault="00CE687B" w:rsidP="00CE687B">
      <w:pPr>
        <w:pStyle w:val="ListParagraph"/>
        <w:spacing w:after="120"/>
        <w:ind w:left="394"/>
        <w:jc w:val="both"/>
        <w:rPr>
          <w:rFonts w:eastAsiaTheme="minorEastAsia"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1000</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r>
                <w:rPr>
                  <w:rFonts w:ascii="Cambria Math" w:hAnsi="Cambria Math" w:cs="Times New Roman"/>
                  <w:sz w:val="24"/>
                  <w:szCs w:val="24"/>
                </w:rPr>
                <m:t>+26</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+125s+100</m:t>
              </m:r>
            </m:den>
          </m:f>
        </m:oMath>
      </m:oMathPara>
    </w:p>
    <w:p w14:paraId="41F8B58B" w14:textId="6D9AAAAF" w:rsidR="00CE687B" w:rsidRPr="00D337FD" w:rsidRDefault="00CE687B" w:rsidP="00CE687B">
      <w:pPr>
        <w:pStyle w:val="ListParagraph"/>
        <w:spacing w:after="120"/>
        <w:ind w:left="394"/>
        <w:jc w:val="both"/>
        <w:rPr>
          <w:rFonts w:eastAsiaTheme="minorEastAsia" w:cs="Times New Roman"/>
          <w:sz w:val="24"/>
          <w:szCs w:val="24"/>
        </w:rPr>
      </w:pPr>
      <w:r w:rsidRPr="00D337FD">
        <w:rPr>
          <w:rFonts w:eastAsiaTheme="minorEastAsia" w:cs="Times New Roman"/>
          <w:sz w:val="24"/>
          <w:szCs w:val="24"/>
        </w:rPr>
        <w:t>the transfer function of the compensator</w:t>
      </w:r>
    </w:p>
    <w:p w14:paraId="7D598044" w14:textId="270D133C" w:rsidR="00CE687B" w:rsidRPr="00D337FD" w:rsidRDefault="00EA624A" w:rsidP="00CE687B">
      <w:pPr>
        <w:pStyle w:val="ListParagraph"/>
        <w:spacing w:after="120"/>
        <w:ind w:left="394"/>
        <w:jc w:val="both"/>
        <w:rPr>
          <w:rFonts w:eastAsiaTheme="minorEastAsia"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r>
                <w:rPr>
                  <w:rFonts w:ascii="Cambria Math" w:hAnsi="Cambria Math" w:cs="Times New Roman"/>
                  <w:sz w:val="24"/>
                  <w:szCs w:val="24"/>
                </w:rPr>
                <m:t>s</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sK</m:t>
              </m:r>
            </m:e>
            <m:sub>
              <m:r>
                <w:rPr>
                  <w:rFonts w:ascii="Cambria Math" w:hAnsi="Cambria Math" w:cs="Times New Roman"/>
                  <w:sz w:val="24"/>
                  <w:szCs w:val="24"/>
                </w:rPr>
                <m:t>D</m:t>
              </m:r>
            </m:sub>
          </m:sSub>
        </m:oMath>
      </m:oMathPara>
    </w:p>
    <w:p w14:paraId="3BA7ACA7" w14:textId="63DF5DB8" w:rsidR="00CE687B" w:rsidRPr="00D337FD" w:rsidRDefault="00CE687B" w:rsidP="00CE687B">
      <w:pPr>
        <w:pStyle w:val="ListParagraph"/>
        <w:spacing w:after="120"/>
        <w:ind w:left="394"/>
        <w:jc w:val="both"/>
        <w:rPr>
          <w:rFonts w:cs="Times New Roman"/>
          <w:sz w:val="24"/>
          <w:szCs w:val="24"/>
        </w:rPr>
      </w:pPr>
      <w:r w:rsidRPr="00D337FD">
        <w:rPr>
          <w:rFonts w:cs="Times New Roman"/>
          <w:sz w:val="24"/>
          <w:szCs w:val="24"/>
        </w:rPr>
        <w:t>and the typical unity feedback configuration.</w:t>
      </w:r>
    </w:p>
    <w:p w14:paraId="1A3E5213" w14:textId="7C3877D2" w:rsidR="00CE687B" w:rsidRPr="00D337FD" w:rsidRDefault="00CE687B" w:rsidP="00CE687B">
      <w:pPr>
        <w:pStyle w:val="ListParagraph"/>
        <w:spacing w:after="120"/>
        <w:ind w:left="394"/>
        <w:jc w:val="both"/>
        <w:rPr>
          <w:rFonts w:cs="Times New Roman"/>
          <w:sz w:val="24"/>
          <w:szCs w:val="24"/>
        </w:rPr>
      </w:pPr>
      <w:r w:rsidRPr="00D337FD">
        <w:rPr>
          <w:rFonts w:cs="Times New Roman"/>
          <w:b/>
          <w:sz w:val="24"/>
          <w:szCs w:val="24"/>
        </w:rPr>
        <w:t>Design Objective:</w:t>
      </w:r>
      <w:r w:rsidRPr="00D337FD">
        <w:rPr>
          <w:rFonts w:cs="Times New Roman"/>
          <w:sz w:val="24"/>
          <w:szCs w:val="24"/>
        </w:rPr>
        <w:t xml:space="preserve"> Design a PID compensator such that the resultant closed loop system will have zero steady-state error,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ss</m:t>
            </m:r>
          </m:sub>
        </m:sSub>
        <m:r>
          <w:rPr>
            <w:rFonts w:ascii="Cambria Math" w:hAnsi="Cambria Math" w:cs="Times New Roman"/>
            <w:sz w:val="24"/>
            <w:szCs w:val="24"/>
          </w:rPr>
          <m:t>=0</m:t>
        </m:r>
      </m:oMath>
      <w:r w:rsidRPr="00D337FD">
        <w:rPr>
          <w:rFonts w:eastAsiaTheme="minorEastAsia" w:cs="Times New Roman"/>
          <w:sz w:val="24"/>
          <w:szCs w:val="24"/>
        </w:rPr>
        <w:t xml:space="preserve">, a percent overshoot </w:t>
      </w:r>
      <m:oMath>
        <m:r>
          <w:rPr>
            <w:rFonts w:ascii="Cambria Math" w:hAnsi="Cambria Math" w:cs="Times New Roman"/>
            <w:sz w:val="24"/>
            <w:szCs w:val="24"/>
          </w:rPr>
          <m:t>MP</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≤15%</m:t>
        </m:r>
      </m:oMath>
      <w:r w:rsidRPr="00D337FD">
        <w:rPr>
          <w:rFonts w:eastAsiaTheme="minorEastAsia" w:cs="Times New Roman"/>
          <w:sz w:val="24"/>
          <w:szCs w:val="24"/>
        </w:rPr>
        <w:t xml:space="preserve"> and a 2% settling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≤1</m:t>
        </m:r>
      </m:oMath>
      <w:r w:rsidRPr="00D337FD">
        <w:rPr>
          <w:rFonts w:eastAsiaTheme="minorEastAsia" w:cs="Times New Roman"/>
          <w:sz w:val="24"/>
          <w:szCs w:val="24"/>
        </w:rPr>
        <w:t xml:space="preserve"> second.</w:t>
      </w:r>
    </w:p>
    <w:p w14:paraId="605FA4A2" w14:textId="45A87725" w:rsidR="00D337FD" w:rsidRPr="00D337FD" w:rsidRDefault="00D337FD" w:rsidP="00D337FD">
      <w:pPr>
        <w:spacing w:after="120"/>
        <w:jc w:val="both"/>
        <w:rPr>
          <w:rFonts w:cs="Times New Roman"/>
          <w:b/>
          <w:u w:val="single"/>
        </w:rPr>
      </w:pPr>
      <w:r w:rsidRPr="00D337FD">
        <w:rPr>
          <w:rFonts w:cs="Times New Roman"/>
          <w:b/>
          <w:u w:val="single"/>
        </w:rPr>
        <w:t>Procedure Answer Sheet</w:t>
      </w:r>
    </w:p>
    <w:p w14:paraId="466F3912" w14:textId="4134D302" w:rsidR="00D337FD" w:rsidRDefault="00D337FD" w:rsidP="00D337FD">
      <w:pPr>
        <w:spacing w:after="120"/>
        <w:jc w:val="both"/>
        <w:rPr>
          <w:rFonts w:cs="Times New Roman"/>
        </w:rPr>
      </w:pPr>
      <w:r w:rsidRPr="00D337FD">
        <w:rPr>
          <w:rFonts w:cs="Times New Roman"/>
        </w:rPr>
        <w:t xml:space="preserve">       1. </w:t>
      </w:r>
      <w:r>
        <w:rPr>
          <w:rFonts w:cs="Times New Roman"/>
        </w:rPr>
        <w:tab/>
        <w:t xml:space="preserve">e.  </w:t>
      </w:r>
      <w:r w:rsidR="00457183">
        <w:rPr>
          <w:rFonts w:cs="Times New Roman"/>
        </w:rPr>
        <w:t>T</w:t>
      </w:r>
      <w:r>
        <w:rPr>
          <w:rFonts w:cs="Times New Roman"/>
        </w:rPr>
        <w:t>uning method</w:t>
      </w:r>
    </w:p>
    <w:p w14:paraId="388BA89E" w14:textId="61E9C1EF" w:rsidR="00D337FD" w:rsidRPr="00D337FD" w:rsidRDefault="00D337FD" w:rsidP="00D337FD">
      <w:pPr>
        <w:spacing w:after="120"/>
        <w:jc w:val="both"/>
        <w:rPr>
          <w:rFonts w:cs="Times New Roman"/>
        </w:rPr>
      </w:pPr>
      <w:r>
        <w:rPr>
          <w:rFonts w:cs="Times New Roman"/>
        </w:rPr>
        <w:tab/>
      </w:r>
      <w:proofErr w:type="spellStart"/>
      <w:r w:rsidRPr="00D337FD">
        <w:t>K</w:t>
      </w:r>
      <w:r w:rsidRPr="00D337FD">
        <w:rPr>
          <w:vertAlign w:val="subscript"/>
        </w:rPr>
        <w:t>cr</w:t>
      </w:r>
      <w:proofErr w:type="spellEnd"/>
      <w:r>
        <w:t xml:space="preserve"> = ________________</w:t>
      </w:r>
      <w:r>
        <w:tab/>
      </w:r>
      <w:r>
        <w:tab/>
      </w:r>
      <w:proofErr w:type="spellStart"/>
      <w:r w:rsidRPr="00D337FD">
        <w:rPr>
          <w:i/>
        </w:rPr>
        <w:t>f</w:t>
      </w:r>
      <w:r w:rsidRPr="00D337FD">
        <w:rPr>
          <w:i/>
          <w:vertAlign w:val="subscript"/>
        </w:rPr>
        <w:t>o</w:t>
      </w:r>
      <w:proofErr w:type="spellEnd"/>
      <w:r w:rsidR="00742CDA">
        <w:t xml:space="preserve"> = _____________________</w:t>
      </w:r>
    </w:p>
    <w:p w14:paraId="762AA139" w14:textId="77777777" w:rsidR="00742CDA" w:rsidRPr="00D337FD" w:rsidRDefault="00742CDA" w:rsidP="00742CDA">
      <w:pPr>
        <w:spacing w:after="120"/>
        <w:ind w:left="720"/>
        <w:jc w:val="both"/>
        <w:rPr>
          <w:rFonts w:cs="Times New Roman"/>
          <w:i/>
        </w:rPr>
      </w:pPr>
      <w:r w:rsidRPr="00D337FD">
        <w:rPr>
          <w:rFonts w:cs="Times New Roman"/>
        </w:rPr>
        <w:t>K</w:t>
      </w:r>
      <w:r w:rsidRPr="00D337FD">
        <w:rPr>
          <w:rFonts w:cs="Times New Roman"/>
          <w:vertAlign w:val="subscript"/>
        </w:rPr>
        <w:t>P</w:t>
      </w:r>
      <w:r w:rsidRPr="00D337FD">
        <w:rPr>
          <w:rFonts w:cs="Times New Roman"/>
          <w:i/>
        </w:rPr>
        <w:t xml:space="preserve"> </w:t>
      </w:r>
      <w:r w:rsidRPr="00D337FD">
        <w:rPr>
          <w:rFonts w:cs="Times New Roman"/>
        </w:rPr>
        <w:t>=</w:t>
      </w:r>
      <w:r w:rsidRPr="00D337FD">
        <w:rPr>
          <w:rFonts w:cs="Times New Roman"/>
          <w:i/>
        </w:rPr>
        <w:t xml:space="preserve"> ___________________</w:t>
      </w:r>
      <w:r w:rsidRPr="00D337FD">
        <w:rPr>
          <w:rFonts w:cs="Times New Roman"/>
          <w:i/>
        </w:rPr>
        <w:tab/>
      </w:r>
      <w:r w:rsidRPr="00D337FD">
        <w:rPr>
          <w:rFonts w:cs="Times New Roman"/>
        </w:rPr>
        <w:t>K</w:t>
      </w:r>
      <w:r w:rsidRPr="00D337FD">
        <w:rPr>
          <w:rFonts w:cs="Times New Roman"/>
          <w:vertAlign w:val="subscript"/>
        </w:rPr>
        <w:t>I</w:t>
      </w:r>
      <w:r w:rsidRPr="00D337FD">
        <w:rPr>
          <w:rFonts w:cs="Times New Roman"/>
          <w:i/>
        </w:rPr>
        <w:t xml:space="preserve"> </w:t>
      </w:r>
      <w:r w:rsidRPr="00D337FD">
        <w:rPr>
          <w:rFonts w:cs="Times New Roman"/>
        </w:rPr>
        <w:t xml:space="preserve">= </w:t>
      </w:r>
      <w:r w:rsidRPr="00D337FD">
        <w:rPr>
          <w:rFonts w:cs="Times New Roman"/>
          <w:i/>
        </w:rPr>
        <w:t>___________________</w:t>
      </w:r>
      <w:r w:rsidRPr="00D337FD">
        <w:rPr>
          <w:rFonts w:cs="Times New Roman"/>
          <w:i/>
        </w:rPr>
        <w:tab/>
      </w:r>
      <w:r w:rsidRPr="00D337FD">
        <w:rPr>
          <w:rFonts w:cs="Times New Roman"/>
          <w:i/>
        </w:rPr>
        <w:tab/>
      </w:r>
      <w:r w:rsidRPr="00D337FD">
        <w:rPr>
          <w:rFonts w:cs="Times New Roman"/>
        </w:rPr>
        <w:t>K</w:t>
      </w:r>
      <w:r w:rsidRPr="00D337FD">
        <w:rPr>
          <w:rFonts w:cs="Times New Roman"/>
          <w:vertAlign w:val="subscript"/>
        </w:rPr>
        <w:t>D</w:t>
      </w:r>
      <w:r w:rsidRPr="00D337FD">
        <w:rPr>
          <w:rFonts w:cs="Times New Roman"/>
          <w:i/>
        </w:rPr>
        <w:t xml:space="preserve"> </w:t>
      </w:r>
      <w:r w:rsidRPr="00D337FD">
        <w:rPr>
          <w:rFonts w:cs="Times New Roman"/>
        </w:rPr>
        <w:t xml:space="preserve">= </w:t>
      </w:r>
      <w:r w:rsidRPr="00D337FD">
        <w:rPr>
          <w:rFonts w:cs="Times New Roman"/>
          <w:i/>
        </w:rPr>
        <w:t>__________________</w:t>
      </w:r>
      <w:r w:rsidRPr="00D337FD">
        <w:rPr>
          <w:rFonts w:cs="Times New Roman"/>
          <w:i/>
        </w:rPr>
        <w:tab/>
      </w:r>
    </w:p>
    <w:p w14:paraId="6AEF933E" w14:textId="77777777" w:rsidR="00D337FD" w:rsidRDefault="00D337FD" w:rsidP="00D337FD">
      <w:pPr>
        <w:pStyle w:val="ListParagraph"/>
        <w:spacing w:after="120"/>
        <w:jc w:val="both"/>
        <w:rPr>
          <w:rFonts w:cs="Times New Roman"/>
          <w:sz w:val="24"/>
          <w:szCs w:val="24"/>
        </w:rPr>
      </w:pPr>
    </w:p>
    <w:p w14:paraId="067B50CE" w14:textId="184CFAC6" w:rsidR="00742CDA" w:rsidRDefault="00742CDA" w:rsidP="00742CDA">
      <w:pPr>
        <w:spacing w:after="120"/>
        <w:jc w:val="both"/>
        <w:rPr>
          <w:rFonts w:cs="Times New Roman"/>
        </w:rPr>
      </w:pPr>
      <w:r w:rsidRPr="00D337FD">
        <w:rPr>
          <w:rFonts w:cs="Times New Roman"/>
        </w:rPr>
        <w:t xml:space="preserve">       1. </w:t>
      </w:r>
      <w:r>
        <w:rPr>
          <w:rFonts w:cs="Times New Roman"/>
        </w:rPr>
        <w:tab/>
        <w:t xml:space="preserve">g.  Tuned PID parameters </w:t>
      </w:r>
    </w:p>
    <w:p w14:paraId="36B9451F" w14:textId="77777777" w:rsidR="00742CDA" w:rsidRPr="00D337FD" w:rsidRDefault="00742CDA" w:rsidP="00742CDA">
      <w:pPr>
        <w:spacing w:after="120"/>
        <w:ind w:left="720"/>
        <w:jc w:val="both"/>
        <w:rPr>
          <w:rFonts w:cs="Times New Roman"/>
          <w:i/>
        </w:rPr>
      </w:pPr>
      <w:r w:rsidRPr="00D337FD">
        <w:rPr>
          <w:rFonts w:cs="Times New Roman"/>
        </w:rPr>
        <w:t>K</w:t>
      </w:r>
      <w:r w:rsidRPr="00D337FD">
        <w:rPr>
          <w:rFonts w:cs="Times New Roman"/>
          <w:vertAlign w:val="subscript"/>
        </w:rPr>
        <w:t>P</w:t>
      </w:r>
      <w:r w:rsidRPr="00D337FD">
        <w:rPr>
          <w:rFonts w:cs="Times New Roman"/>
          <w:i/>
        </w:rPr>
        <w:t xml:space="preserve"> </w:t>
      </w:r>
      <w:r w:rsidRPr="00D337FD">
        <w:rPr>
          <w:rFonts w:cs="Times New Roman"/>
        </w:rPr>
        <w:t>=</w:t>
      </w:r>
      <w:r w:rsidRPr="00D337FD">
        <w:rPr>
          <w:rFonts w:cs="Times New Roman"/>
          <w:i/>
        </w:rPr>
        <w:t xml:space="preserve"> ___________________</w:t>
      </w:r>
      <w:r w:rsidRPr="00D337FD">
        <w:rPr>
          <w:rFonts w:cs="Times New Roman"/>
          <w:i/>
        </w:rPr>
        <w:tab/>
      </w:r>
      <w:r w:rsidRPr="00D337FD">
        <w:rPr>
          <w:rFonts w:cs="Times New Roman"/>
        </w:rPr>
        <w:t>K</w:t>
      </w:r>
      <w:r w:rsidRPr="00D337FD">
        <w:rPr>
          <w:rFonts w:cs="Times New Roman"/>
          <w:vertAlign w:val="subscript"/>
        </w:rPr>
        <w:t>I</w:t>
      </w:r>
      <w:r w:rsidRPr="00D337FD">
        <w:rPr>
          <w:rFonts w:cs="Times New Roman"/>
          <w:i/>
        </w:rPr>
        <w:t xml:space="preserve"> </w:t>
      </w:r>
      <w:r w:rsidRPr="00D337FD">
        <w:rPr>
          <w:rFonts w:cs="Times New Roman"/>
        </w:rPr>
        <w:t xml:space="preserve">= </w:t>
      </w:r>
      <w:r w:rsidRPr="00D337FD">
        <w:rPr>
          <w:rFonts w:cs="Times New Roman"/>
          <w:i/>
        </w:rPr>
        <w:t>___________________</w:t>
      </w:r>
      <w:r w:rsidRPr="00D337FD">
        <w:rPr>
          <w:rFonts w:cs="Times New Roman"/>
          <w:i/>
        </w:rPr>
        <w:tab/>
      </w:r>
      <w:r w:rsidRPr="00D337FD">
        <w:rPr>
          <w:rFonts w:cs="Times New Roman"/>
          <w:i/>
        </w:rPr>
        <w:tab/>
      </w:r>
      <w:r w:rsidRPr="00D337FD">
        <w:rPr>
          <w:rFonts w:cs="Times New Roman"/>
        </w:rPr>
        <w:t>K</w:t>
      </w:r>
      <w:r w:rsidRPr="00D337FD">
        <w:rPr>
          <w:rFonts w:cs="Times New Roman"/>
          <w:vertAlign w:val="subscript"/>
        </w:rPr>
        <w:t>D</w:t>
      </w:r>
      <w:r w:rsidRPr="00D337FD">
        <w:rPr>
          <w:rFonts w:cs="Times New Roman"/>
          <w:i/>
        </w:rPr>
        <w:t xml:space="preserve"> </w:t>
      </w:r>
      <w:r w:rsidRPr="00D337FD">
        <w:rPr>
          <w:rFonts w:cs="Times New Roman"/>
        </w:rPr>
        <w:t xml:space="preserve">= </w:t>
      </w:r>
      <w:r w:rsidRPr="00D337FD">
        <w:rPr>
          <w:rFonts w:cs="Times New Roman"/>
          <w:i/>
        </w:rPr>
        <w:t>__________________</w:t>
      </w:r>
      <w:r w:rsidRPr="00D337FD">
        <w:rPr>
          <w:rFonts w:cs="Times New Roman"/>
          <w:i/>
        </w:rPr>
        <w:tab/>
      </w:r>
    </w:p>
    <w:p w14:paraId="24AC7117" w14:textId="77777777" w:rsidR="00742CDA" w:rsidRDefault="00742CDA" w:rsidP="00D337FD">
      <w:pPr>
        <w:pStyle w:val="ListParagraph"/>
        <w:spacing w:after="120"/>
        <w:jc w:val="both"/>
        <w:rPr>
          <w:rFonts w:cs="Times New Roman"/>
          <w:sz w:val="24"/>
          <w:szCs w:val="24"/>
        </w:rPr>
      </w:pPr>
    </w:p>
    <w:p w14:paraId="00362D34" w14:textId="3ADDE736" w:rsidR="001E3134" w:rsidRDefault="001E3134" w:rsidP="001E3134">
      <w:pPr>
        <w:spacing w:after="120"/>
        <w:jc w:val="both"/>
        <w:rPr>
          <w:rFonts w:eastAsiaTheme="minorHAnsi" w:cs="Times New Roman"/>
          <w:b/>
        </w:rPr>
      </w:pPr>
      <w:r>
        <w:rPr>
          <w:rFonts w:eastAsiaTheme="minorHAnsi" w:cs="Times New Roman"/>
          <w:b/>
        </w:rPr>
        <w:t>References</w:t>
      </w:r>
    </w:p>
    <w:p w14:paraId="389157B1" w14:textId="5925CC05" w:rsidR="001E3134" w:rsidRDefault="001E3134" w:rsidP="001E3134">
      <w:pPr>
        <w:spacing w:after="120"/>
        <w:ind w:left="720" w:hanging="720"/>
        <w:jc w:val="both"/>
        <w:rPr>
          <w:rFonts w:eastAsiaTheme="minorHAnsi" w:cs="Times New Roman"/>
        </w:rPr>
      </w:pPr>
      <w:r>
        <w:rPr>
          <w:rFonts w:eastAsiaTheme="minorHAnsi" w:cs="Times New Roman"/>
        </w:rPr>
        <w:t>[1]</w:t>
      </w:r>
      <w:r>
        <w:rPr>
          <w:rFonts w:eastAsiaTheme="minorHAnsi" w:cs="Times New Roman"/>
        </w:rPr>
        <w:tab/>
        <w:t xml:space="preserve">J.G. Ziegler and N.B. Nichols, “Optimum Settings for Automatic Controllers,” </w:t>
      </w:r>
      <w:r>
        <w:rPr>
          <w:rFonts w:eastAsiaTheme="minorHAnsi" w:cs="Times New Roman"/>
          <w:i/>
        </w:rPr>
        <w:t>Transactions of the A.S.M.E.</w:t>
      </w:r>
      <w:r>
        <w:rPr>
          <w:rFonts w:eastAsiaTheme="minorHAnsi" w:cs="Times New Roman"/>
        </w:rPr>
        <w:t>, vol. 64, pp. 759-768, November 1942.</w:t>
      </w:r>
    </w:p>
    <w:p w14:paraId="1A10D2E1" w14:textId="228FDB5B" w:rsidR="001E3134" w:rsidRDefault="001E3134" w:rsidP="001E3134">
      <w:pPr>
        <w:spacing w:after="120"/>
        <w:ind w:left="720" w:hanging="720"/>
        <w:jc w:val="both"/>
        <w:rPr>
          <w:rFonts w:eastAsiaTheme="minorHAnsi" w:cs="Times New Roman"/>
        </w:rPr>
      </w:pPr>
      <w:r>
        <w:rPr>
          <w:rFonts w:eastAsiaTheme="minorHAnsi" w:cs="Times New Roman"/>
        </w:rPr>
        <w:t>[2]</w:t>
      </w:r>
      <w:r>
        <w:rPr>
          <w:rFonts w:eastAsiaTheme="minorHAnsi" w:cs="Times New Roman"/>
        </w:rPr>
        <w:tab/>
        <w:t xml:space="preserve">J.K. </w:t>
      </w:r>
      <w:proofErr w:type="spellStart"/>
      <w:r>
        <w:rPr>
          <w:rFonts w:eastAsiaTheme="minorHAnsi" w:cs="Times New Roman"/>
        </w:rPr>
        <w:t>Hurtig</w:t>
      </w:r>
      <w:proofErr w:type="spellEnd"/>
      <w:r>
        <w:rPr>
          <w:rFonts w:eastAsiaTheme="minorHAnsi" w:cs="Times New Roman"/>
        </w:rPr>
        <w:t>, “ PID Lab”, ECE 445.</w:t>
      </w:r>
    </w:p>
    <w:p w14:paraId="03DEED8E" w14:textId="1A4C1C9B" w:rsidR="00457183" w:rsidRDefault="00457183" w:rsidP="001E3134">
      <w:pPr>
        <w:spacing w:after="120"/>
        <w:ind w:left="720" w:hanging="720"/>
        <w:jc w:val="both"/>
        <w:rPr>
          <w:rFonts w:eastAsiaTheme="minorHAnsi" w:cs="Times New Roman"/>
        </w:rPr>
      </w:pPr>
    </w:p>
    <w:p w14:paraId="74F22CBD" w14:textId="09AB44FA" w:rsidR="00457183" w:rsidRDefault="00457183" w:rsidP="001E3134">
      <w:pPr>
        <w:spacing w:after="120"/>
        <w:ind w:left="720" w:hanging="720"/>
        <w:jc w:val="both"/>
        <w:rPr>
          <w:rFonts w:eastAsiaTheme="minorHAnsi" w:cs="Times New Roman"/>
        </w:rPr>
      </w:pPr>
    </w:p>
    <w:p w14:paraId="0A81D71B" w14:textId="3225E7B3" w:rsidR="00457183" w:rsidRDefault="00457183" w:rsidP="001E3134">
      <w:pPr>
        <w:spacing w:after="120"/>
        <w:ind w:left="720" w:hanging="720"/>
        <w:jc w:val="both"/>
        <w:rPr>
          <w:rFonts w:eastAsiaTheme="minorHAnsi" w:cs="Times New Roman"/>
        </w:rPr>
      </w:pPr>
    </w:p>
    <w:p w14:paraId="73367D0A" w14:textId="0C67DF9F" w:rsidR="00457183" w:rsidRDefault="00457183" w:rsidP="001E3134">
      <w:pPr>
        <w:spacing w:after="120"/>
        <w:ind w:left="720" w:hanging="720"/>
        <w:jc w:val="both"/>
        <w:rPr>
          <w:rFonts w:eastAsiaTheme="minorHAnsi" w:cs="Times New Roman"/>
        </w:rPr>
      </w:pPr>
    </w:p>
    <w:p w14:paraId="07FA9B53" w14:textId="34257A59" w:rsidR="00457183" w:rsidRDefault="00457183" w:rsidP="001E3134">
      <w:pPr>
        <w:spacing w:after="120"/>
        <w:ind w:left="720" w:hanging="720"/>
        <w:jc w:val="both"/>
        <w:rPr>
          <w:rFonts w:eastAsiaTheme="minorHAnsi" w:cs="Times New Roman"/>
        </w:rPr>
      </w:pPr>
    </w:p>
    <w:p w14:paraId="1CD36ED8" w14:textId="76500505" w:rsidR="00457183" w:rsidRDefault="00457183" w:rsidP="001E3134">
      <w:pPr>
        <w:spacing w:after="120"/>
        <w:ind w:left="720" w:hanging="720"/>
        <w:jc w:val="both"/>
        <w:rPr>
          <w:rFonts w:eastAsiaTheme="minorHAnsi" w:cs="Times New Roman"/>
        </w:rPr>
      </w:pPr>
    </w:p>
    <w:p w14:paraId="76DD85A0" w14:textId="2B5C5239" w:rsidR="00457183" w:rsidRDefault="00457183" w:rsidP="001E3134">
      <w:pPr>
        <w:spacing w:after="120"/>
        <w:ind w:left="720" w:hanging="720"/>
        <w:jc w:val="both"/>
        <w:rPr>
          <w:rFonts w:eastAsiaTheme="minorHAnsi" w:cs="Times New Roman"/>
        </w:rPr>
      </w:pPr>
    </w:p>
    <w:p w14:paraId="0FCB1B5E" w14:textId="5E5A0987" w:rsidR="00457183" w:rsidRDefault="00457183" w:rsidP="001E3134">
      <w:pPr>
        <w:spacing w:after="120"/>
        <w:ind w:left="720" w:hanging="720"/>
        <w:jc w:val="both"/>
        <w:rPr>
          <w:rFonts w:eastAsiaTheme="minorHAnsi" w:cs="Times New Roman"/>
          <w:b/>
          <w:bCs/>
        </w:rPr>
      </w:pPr>
      <w:r>
        <w:rPr>
          <w:rFonts w:eastAsiaTheme="minorHAnsi" w:cs="Times New Roman"/>
          <w:b/>
          <w:bCs/>
        </w:rPr>
        <w:lastRenderedPageBreak/>
        <w:t>Simulink Based PID Tuning</w:t>
      </w:r>
    </w:p>
    <w:p w14:paraId="3F2C64AC" w14:textId="499A9426" w:rsidR="00E145AD" w:rsidRDefault="00E145AD" w:rsidP="00E145AD">
      <w:pPr>
        <w:pStyle w:val="ListParagraph"/>
        <w:numPr>
          <w:ilvl w:val="0"/>
          <w:numId w:val="16"/>
        </w:numPr>
        <w:spacing w:after="120"/>
        <w:jc w:val="both"/>
        <w:rPr>
          <w:rFonts w:cs="Times New Roman"/>
        </w:rPr>
      </w:pPr>
      <w:r>
        <w:rPr>
          <w:rFonts w:cs="Times New Roman"/>
        </w:rPr>
        <w:t xml:space="preserve">Type the command </w:t>
      </w:r>
      <w:proofErr w:type="spellStart"/>
      <w:r>
        <w:rPr>
          <w:rFonts w:cs="Times New Roman"/>
        </w:rPr>
        <w:t>simulink</w:t>
      </w:r>
      <w:proofErr w:type="spellEnd"/>
      <w:r>
        <w:rPr>
          <w:rFonts w:cs="Times New Roman"/>
        </w:rPr>
        <w:t xml:space="preserve"> into the command window of MATLAB.</w:t>
      </w:r>
    </w:p>
    <w:p w14:paraId="4A324215" w14:textId="36784E14" w:rsidR="00E145AD" w:rsidRDefault="00E145AD" w:rsidP="00E145AD">
      <w:pPr>
        <w:pStyle w:val="ListParagraph"/>
        <w:numPr>
          <w:ilvl w:val="0"/>
          <w:numId w:val="16"/>
        </w:numPr>
        <w:spacing w:after="120"/>
        <w:jc w:val="both"/>
        <w:rPr>
          <w:rFonts w:cs="Times New Roman"/>
        </w:rPr>
      </w:pPr>
      <w:r>
        <w:rPr>
          <w:rFonts w:cs="Times New Roman"/>
        </w:rPr>
        <w:t>Open a blank model</w:t>
      </w:r>
    </w:p>
    <w:p w14:paraId="2CFC0BA6" w14:textId="00CFF959" w:rsidR="00E145AD" w:rsidRDefault="00E145AD" w:rsidP="00E145AD">
      <w:pPr>
        <w:pStyle w:val="ListParagraph"/>
        <w:numPr>
          <w:ilvl w:val="0"/>
          <w:numId w:val="16"/>
        </w:numPr>
        <w:spacing w:after="120"/>
        <w:jc w:val="both"/>
        <w:rPr>
          <w:rFonts w:cs="Times New Roman"/>
        </w:rPr>
      </w:pPr>
      <w:r>
        <w:rPr>
          <w:rFonts w:cs="Times New Roman"/>
        </w:rPr>
        <w:t>Click on the library browser (red square)</w:t>
      </w:r>
    </w:p>
    <w:p w14:paraId="5D87C2E8" w14:textId="459D7957" w:rsidR="00E145AD" w:rsidRDefault="00E145AD" w:rsidP="000C0D70">
      <w:pPr>
        <w:spacing w:after="120"/>
        <w:jc w:val="center"/>
        <w:rPr>
          <w:rFonts w:cs="Times New Roman"/>
        </w:rPr>
      </w:pPr>
      <w:r>
        <w:rPr>
          <w:noProof/>
        </w:rPr>
        <w:drawing>
          <wp:inline distT="0" distB="0" distL="0" distR="0" wp14:anchorId="504EA326" wp14:editId="3B96A058">
            <wp:extent cx="5486400" cy="7308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03 at 1.03.09 PM.png"/>
                    <pic:cNvPicPr/>
                  </pic:nvPicPr>
                  <pic:blipFill>
                    <a:blip r:embed="rId5"/>
                    <a:stretch>
                      <a:fillRect/>
                    </a:stretch>
                  </pic:blipFill>
                  <pic:spPr>
                    <a:xfrm>
                      <a:off x="0" y="0"/>
                      <a:ext cx="5486400" cy="730885"/>
                    </a:xfrm>
                    <a:prstGeom prst="rect">
                      <a:avLst/>
                    </a:prstGeom>
                  </pic:spPr>
                </pic:pic>
              </a:graphicData>
            </a:graphic>
          </wp:inline>
        </w:drawing>
      </w:r>
    </w:p>
    <w:p w14:paraId="4544C650" w14:textId="3E42462E" w:rsidR="00E145AD" w:rsidRDefault="00E145AD" w:rsidP="00E145AD">
      <w:pPr>
        <w:pStyle w:val="ListParagraph"/>
        <w:numPr>
          <w:ilvl w:val="0"/>
          <w:numId w:val="16"/>
        </w:numPr>
        <w:spacing w:after="120"/>
        <w:jc w:val="both"/>
        <w:rPr>
          <w:rFonts w:cs="Times New Roman"/>
        </w:rPr>
      </w:pPr>
      <w:r>
        <w:rPr>
          <w:rFonts w:cs="Times New Roman"/>
        </w:rPr>
        <w:t>Use the blocks from this library browser to construct the following block diagram</w:t>
      </w:r>
    </w:p>
    <w:p w14:paraId="0F8B170C" w14:textId="26764898" w:rsidR="00E145AD" w:rsidRPr="00E145AD" w:rsidRDefault="000C0D70" w:rsidP="000C0D70">
      <w:pPr>
        <w:spacing w:after="120"/>
        <w:jc w:val="center"/>
        <w:rPr>
          <w:rFonts w:cs="Times New Roman"/>
        </w:rPr>
      </w:pPr>
      <w:r>
        <w:rPr>
          <w:rFonts w:cs="Times New Roman"/>
          <w:noProof/>
        </w:rPr>
        <w:drawing>
          <wp:inline distT="0" distB="0" distL="0" distR="0" wp14:anchorId="22CBA8D7" wp14:editId="75D19C25">
            <wp:extent cx="4660900" cy="1714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03 at 1.13.37 PM.png"/>
                    <pic:cNvPicPr/>
                  </pic:nvPicPr>
                  <pic:blipFill>
                    <a:blip r:embed="rId6"/>
                    <a:stretch>
                      <a:fillRect/>
                    </a:stretch>
                  </pic:blipFill>
                  <pic:spPr>
                    <a:xfrm>
                      <a:off x="0" y="0"/>
                      <a:ext cx="4660900" cy="1714500"/>
                    </a:xfrm>
                    <a:prstGeom prst="rect">
                      <a:avLst/>
                    </a:prstGeom>
                  </pic:spPr>
                </pic:pic>
              </a:graphicData>
            </a:graphic>
          </wp:inline>
        </w:drawing>
      </w:r>
    </w:p>
    <w:p w14:paraId="3AE915D8" w14:textId="458A3139" w:rsidR="00E145AD" w:rsidRPr="00E145AD" w:rsidRDefault="00E145AD" w:rsidP="00E145AD">
      <w:pPr>
        <w:pStyle w:val="ListParagraph"/>
        <w:numPr>
          <w:ilvl w:val="0"/>
          <w:numId w:val="16"/>
        </w:numPr>
        <w:spacing w:after="120"/>
        <w:jc w:val="both"/>
        <w:rPr>
          <w:rFonts w:cs="Times New Roman"/>
        </w:rPr>
      </w:pPr>
      <w:r>
        <w:rPr>
          <w:rFonts w:cs="Times New Roman"/>
        </w:rPr>
        <w:t>The summer signs can be changed by double clicking the summer (should be |+-)</w:t>
      </w:r>
    </w:p>
    <w:p w14:paraId="63478CE6" w14:textId="618F2076" w:rsidR="00E145AD" w:rsidRDefault="00E145AD" w:rsidP="00E145AD">
      <w:pPr>
        <w:pStyle w:val="ListParagraph"/>
        <w:numPr>
          <w:ilvl w:val="0"/>
          <w:numId w:val="16"/>
        </w:numPr>
        <w:spacing w:after="120"/>
        <w:jc w:val="both"/>
        <w:rPr>
          <w:rFonts w:cs="Times New Roman"/>
        </w:rPr>
      </w:pPr>
      <w:r>
        <w:rPr>
          <w:rFonts w:cs="Times New Roman"/>
        </w:rPr>
        <w:t xml:space="preserve">Set step time to 0 in the step </w:t>
      </w:r>
    </w:p>
    <w:p w14:paraId="4ADD3704" w14:textId="6411C279" w:rsidR="00E145AD" w:rsidRDefault="00E145AD" w:rsidP="00E145AD">
      <w:pPr>
        <w:pStyle w:val="ListParagraph"/>
        <w:numPr>
          <w:ilvl w:val="0"/>
          <w:numId w:val="16"/>
        </w:numPr>
        <w:spacing w:after="120"/>
        <w:jc w:val="both"/>
        <w:rPr>
          <w:rFonts w:cs="Times New Roman"/>
        </w:rPr>
      </w:pPr>
      <w:r>
        <w:rPr>
          <w:rFonts w:cs="Times New Roman"/>
        </w:rPr>
        <w:t>The transfer function is set by double clicking and entering vectors for the numerator and denominator</w:t>
      </w:r>
    </w:p>
    <w:p w14:paraId="185E98B7" w14:textId="6980A8B2" w:rsidR="00E145AD" w:rsidRDefault="00E145AD" w:rsidP="00E145AD">
      <w:pPr>
        <w:pStyle w:val="ListParagraph"/>
        <w:numPr>
          <w:ilvl w:val="0"/>
          <w:numId w:val="16"/>
        </w:numPr>
        <w:spacing w:after="120"/>
        <w:jc w:val="both"/>
        <w:rPr>
          <w:rFonts w:cs="Times New Roman"/>
        </w:rPr>
      </w:pPr>
      <w:r>
        <w:rPr>
          <w:rFonts w:cs="Times New Roman"/>
        </w:rPr>
        <w:t xml:space="preserve">Put in our initial guesses for PID gains from </w:t>
      </w:r>
      <w:r w:rsidR="000C0D70">
        <w:rPr>
          <w:rFonts w:cs="Times New Roman"/>
        </w:rPr>
        <w:t>Ziegler Nichols Method</w:t>
      </w:r>
    </w:p>
    <w:p w14:paraId="07D491E1" w14:textId="304E4759" w:rsidR="000C0D70" w:rsidRDefault="000C0D70" w:rsidP="00E145AD">
      <w:pPr>
        <w:pStyle w:val="ListParagraph"/>
        <w:numPr>
          <w:ilvl w:val="0"/>
          <w:numId w:val="16"/>
        </w:numPr>
        <w:spacing w:after="120"/>
        <w:jc w:val="both"/>
        <w:rPr>
          <w:rFonts w:cs="Times New Roman"/>
        </w:rPr>
      </w:pPr>
      <w:r>
        <w:rPr>
          <w:rFonts w:cs="Times New Roman"/>
        </w:rPr>
        <w:t>Double click the scope, then click run (the play button).  You should get a response like the figure below</w:t>
      </w:r>
    </w:p>
    <w:p w14:paraId="4613F268" w14:textId="43B28E97" w:rsidR="000C0D70" w:rsidRPr="000C0D70" w:rsidRDefault="000C0D70" w:rsidP="000C0D70">
      <w:pPr>
        <w:spacing w:after="120"/>
        <w:jc w:val="center"/>
        <w:rPr>
          <w:rFonts w:cs="Times New Roman"/>
        </w:rPr>
      </w:pPr>
      <w:r>
        <w:rPr>
          <w:rFonts w:cs="Times New Roman"/>
          <w:noProof/>
        </w:rPr>
        <w:lastRenderedPageBreak/>
        <w:drawing>
          <wp:inline distT="0" distB="0" distL="0" distR="0" wp14:anchorId="34150502" wp14:editId="7A292127">
            <wp:extent cx="4708080" cy="4007317"/>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03 at 1.13.45 PM.png"/>
                    <pic:cNvPicPr/>
                  </pic:nvPicPr>
                  <pic:blipFill>
                    <a:blip r:embed="rId7"/>
                    <a:stretch>
                      <a:fillRect/>
                    </a:stretch>
                  </pic:blipFill>
                  <pic:spPr>
                    <a:xfrm>
                      <a:off x="0" y="0"/>
                      <a:ext cx="4730717" cy="4026584"/>
                    </a:xfrm>
                    <a:prstGeom prst="rect">
                      <a:avLst/>
                    </a:prstGeom>
                  </pic:spPr>
                </pic:pic>
              </a:graphicData>
            </a:graphic>
          </wp:inline>
        </w:drawing>
      </w:r>
    </w:p>
    <w:p w14:paraId="60EB328C" w14:textId="03A99FCD" w:rsidR="000C0D70" w:rsidRDefault="000C0D70" w:rsidP="00E145AD">
      <w:pPr>
        <w:pStyle w:val="ListParagraph"/>
        <w:numPr>
          <w:ilvl w:val="0"/>
          <w:numId w:val="16"/>
        </w:numPr>
        <w:spacing w:after="120"/>
        <w:jc w:val="both"/>
        <w:rPr>
          <w:rFonts w:cs="Times New Roman"/>
        </w:rPr>
      </w:pPr>
      <w:r>
        <w:rPr>
          <w:rFonts w:cs="Times New Roman"/>
        </w:rPr>
        <w:t>Double click the PID controller</w:t>
      </w:r>
    </w:p>
    <w:p w14:paraId="1D6430C0" w14:textId="16E9DD51" w:rsidR="000C0D70" w:rsidRDefault="000C0D70" w:rsidP="00E145AD">
      <w:pPr>
        <w:pStyle w:val="ListParagraph"/>
        <w:numPr>
          <w:ilvl w:val="0"/>
          <w:numId w:val="16"/>
        </w:numPr>
        <w:spacing w:after="120"/>
        <w:jc w:val="both"/>
        <w:rPr>
          <w:rFonts w:cs="Times New Roman"/>
        </w:rPr>
      </w:pPr>
      <w:r>
        <w:rPr>
          <w:rFonts w:cs="Times New Roman"/>
        </w:rPr>
        <w:t>Click Tune</w:t>
      </w:r>
    </w:p>
    <w:p w14:paraId="561E6E9C" w14:textId="58F9F303" w:rsidR="000C0D70" w:rsidRDefault="000C0D70" w:rsidP="000C0D70">
      <w:pPr>
        <w:pStyle w:val="ListParagraph"/>
        <w:numPr>
          <w:ilvl w:val="0"/>
          <w:numId w:val="16"/>
        </w:numPr>
        <w:spacing w:after="120"/>
        <w:jc w:val="both"/>
        <w:rPr>
          <w:rFonts w:cs="Times New Roman"/>
        </w:rPr>
      </w:pPr>
      <w:r>
        <w:rPr>
          <w:rFonts w:cs="Times New Roman"/>
        </w:rPr>
        <w:t>Play with the GUI to tune your controller.  The GUI should look like the figure below</w:t>
      </w:r>
    </w:p>
    <w:p w14:paraId="07EC8CBD" w14:textId="0A472236" w:rsidR="000C0D70" w:rsidRDefault="000C0D70" w:rsidP="000C0D70">
      <w:pPr>
        <w:spacing w:after="120"/>
        <w:jc w:val="center"/>
        <w:rPr>
          <w:rFonts w:cs="Times New Roman"/>
        </w:rPr>
      </w:pPr>
      <w:r>
        <w:rPr>
          <w:rFonts w:cs="Times New Roman"/>
          <w:noProof/>
        </w:rPr>
        <w:drawing>
          <wp:inline distT="0" distB="0" distL="0" distR="0" wp14:anchorId="712860BB" wp14:editId="24E1ECD3">
            <wp:extent cx="4423918" cy="3181739"/>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03 at 1.15.28 PM.png"/>
                    <pic:cNvPicPr/>
                  </pic:nvPicPr>
                  <pic:blipFill>
                    <a:blip r:embed="rId8"/>
                    <a:stretch>
                      <a:fillRect/>
                    </a:stretch>
                  </pic:blipFill>
                  <pic:spPr>
                    <a:xfrm>
                      <a:off x="0" y="0"/>
                      <a:ext cx="4432770" cy="3188106"/>
                    </a:xfrm>
                    <a:prstGeom prst="rect">
                      <a:avLst/>
                    </a:prstGeom>
                  </pic:spPr>
                </pic:pic>
              </a:graphicData>
            </a:graphic>
          </wp:inline>
        </w:drawing>
      </w:r>
    </w:p>
    <w:p w14:paraId="65F83700" w14:textId="04880E4B" w:rsidR="000C0D70" w:rsidRDefault="000C0D70" w:rsidP="000C0D70">
      <w:pPr>
        <w:pStyle w:val="ListParagraph"/>
        <w:numPr>
          <w:ilvl w:val="0"/>
          <w:numId w:val="16"/>
        </w:numPr>
        <w:spacing w:after="120"/>
        <w:jc w:val="both"/>
        <w:rPr>
          <w:rFonts w:cs="Times New Roman"/>
        </w:rPr>
      </w:pPr>
      <w:r>
        <w:rPr>
          <w:rFonts w:cs="Times New Roman"/>
        </w:rPr>
        <w:lastRenderedPageBreak/>
        <w:t xml:space="preserve">You may want to select options and choose </w:t>
      </w:r>
      <w:r w:rsidR="00EA624A">
        <w:rPr>
          <w:rFonts w:cs="Times New Roman"/>
        </w:rPr>
        <w:t xml:space="preserve">to </w:t>
      </w:r>
      <w:r>
        <w:rPr>
          <w:rFonts w:cs="Times New Roman"/>
        </w:rPr>
        <w:t xml:space="preserve">focus on reference tracking.  Don’t be scared to reset if needed!  Here’s my tuned </w:t>
      </w:r>
      <w:r w:rsidR="00EA624A">
        <w:rPr>
          <w:rFonts w:cs="Times New Roman"/>
        </w:rPr>
        <w:t>response.</w:t>
      </w:r>
    </w:p>
    <w:p w14:paraId="519C59D7" w14:textId="214DE7F4" w:rsidR="00EA624A" w:rsidRPr="00EA624A" w:rsidRDefault="00EA624A" w:rsidP="00EA624A">
      <w:pPr>
        <w:spacing w:after="120"/>
        <w:jc w:val="center"/>
        <w:rPr>
          <w:rFonts w:cs="Times New Roman"/>
        </w:rPr>
      </w:pPr>
      <w:r>
        <w:rPr>
          <w:rFonts w:cs="Times New Roman"/>
          <w:noProof/>
        </w:rPr>
        <w:drawing>
          <wp:inline distT="0" distB="0" distL="0" distR="0" wp14:anchorId="44C83ABB" wp14:editId="478EB7E8">
            <wp:extent cx="4423658" cy="2446836"/>
            <wp:effectExtent l="0" t="0" r="0" b="444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03 at 1.22.52 PM.png"/>
                    <pic:cNvPicPr/>
                  </pic:nvPicPr>
                  <pic:blipFill>
                    <a:blip r:embed="rId9"/>
                    <a:stretch>
                      <a:fillRect/>
                    </a:stretch>
                  </pic:blipFill>
                  <pic:spPr>
                    <a:xfrm>
                      <a:off x="0" y="0"/>
                      <a:ext cx="4440542" cy="2456175"/>
                    </a:xfrm>
                    <a:prstGeom prst="rect">
                      <a:avLst/>
                    </a:prstGeom>
                  </pic:spPr>
                </pic:pic>
              </a:graphicData>
            </a:graphic>
          </wp:inline>
        </w:drawing>
      </w:r>
      <w:bookmarkStart w:id="0" w:name="_GoBack"/>
      <w:bookmarkEnd w:id="0"/>
    </w:p>
    <w:p w14:paraId="31197164" w14:textId="75A434F8" w:rsidR="00EA624A" w:rsidRPr="000C0D70" w:rsidRDefault="00EA624A" w:rsidP="000C0D70">
      <w:pPr>
        <w:pStyle w:val="ListParagraph"/>
        <w:numPr>
          <w:ilvl w:val="0"/>
          <w:numId w:val="16"/>
        </w:numPr>
        <w:spacing w:after="120"/>
        <w:jc w:val="both"/>
        <w:rPr>
          <w:rFonts w:cs="Times New Roman"/>
        </w:rPr>
      </w:pPr>
      <w:r>
        <w:rPr>
          <w:rFonts w:cs="Times New Roman"/>
        </w:rPr>
        <w:t>Finally, click update block, and run the Simulink simulation again to view the result on the scope.  You can also send data to workspace to make nicer plots in MATLAB if you want.</w:t>
      </w:r>
    </w:p>
    <w:sectPr w:rsidR="00EA624A" w:rsidRPr="000C0D70" w:rsidSect="001F0D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15AD"/>
    <w:multiLevelType w:val="hybridMultilevel"/>
    <w:tmpl w:val="954CF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06B65"/>
    <w:multiLevelType w:val="hybridMultilevel"/>
    <w:tmpl w:val="5D644004"/>
    <w:lvl w:ilvl="0" w:tplc="04090001">
      <w:start w:val="1"/>
      <w:numFmt w:val="bullet"/>
      <w:lvlText w:val=""/>
      <w:lvlJc w:val="left"/>
      <w:pPr>
        <w:ind w:left="2258" w:hanging="360"/>
      </w:pPr>
      <w:rPr>
        <w:rFonts w:ascii="Symbol" w:hAnsi="Symbol" w:hint="default"/>
      </w:rPr>
    </w:lvl>
    <w:lvl w:ilvl="1" w:tplc="04090003" w:tentative="1">
      <w:start w:val="1"/>
      <w:numFmt w:val="bullet"/>
      <w:lvlText w:val="o"/>
      <w:lvlJc w:val="left"/>
      <w:pPr>
        <w:ind w:left="2978" w:hanging="360"/>
      </w:pPr>
      <w:rPr>
        <w:rFonts w:ascii="Courier New" w:hAnsi="Courier New" w:cs="Courier New" w:hint="default"/>
      </w:rPr>
    </w:lvl>
    <w:lvl w:ilvl="2" w:tplc="04090005" w:tentative="1">
      <w:start w:val="1"/>
      <w:numFmt w:val="bullet"/>
      <w:lvlText w:val=""/>
      <w:lvlJc w:val="left"/>
      <w:pPr>
        <w:ind w:left="3698" w:hanging="360"/>
      </w:pPr>
      <w:rPr>
        <w:rFonts w:ascii="Wingdings" w:hAnsi="Wingdings" w:hint="default"/>
      </w:rPr>
    </w:lvl>
    <w:lvl w:ilvl="3" w:tplc="04090001" w:tentative="1">
      <w:start w:val="1"/>
      <w:numFmt w:val="bullet"/>
      <w:lvlText w:val=""/>
      <w:lvlJc w:val="left"/>
      <w:pPr>
        <w:ind w:left="4418" w:hanging="360"/>
      </w:pPr>
      <w:rPr>
        <w:rFonts w:ascii="Symbol" w:hAnsi="Symbol" w:hint="default"/>
      </w:rPr>
    </w:lvl>
    <w:lvl w:ilvl="4" w:tplc="04090003" w:tentative="1">
      <w:start w:val="1"/>
      <w:numFmt w:val="bullet"/>
      <w:lvlText w:val="o"/>
      <w:lvlJc w:val="left"/>
      <w:pPr>
        <w:ind w:left="5138" w:hanging="360"/>
      </w:pPr>
      <w:rPr>
        <w:rFonts w:ascii="Courier New" w:hAnsi="Courier New" w:cs="Courier New" w:hint="default"/>
      </w:rPr>
    </w:lvl>
    <w:lvl w:ilvl="5" w:tplc="04090005" w:tentative="1">
      <w:start w:val="1"/>
      <w:numFmt w:val="bullet"/>
      <w:lvlText w:val=""/>
      <w:lvlJc w:val="left"/>
      <w:pPr>
        <w:ind w:left="5858" w:hanging="360"/>
      </w:pPr>
      <w:rPr>
        <w:rFonts w:ascii="Wingdings" w:hAnsi="Wingdings" w:hint="default"/>
      </w:rPr>
    </w:lvl>
    <w:lvl w:ilvl="6" w:tplc="04090001" w:tentative="1">
      <w:start w:val="1"/>
      <w:numFmt w:val="bullet"/>
      <w:lvlText w:val=""/>
      <w:lvlJc w:val="left"/>
      <w:pPr>
        <w:ind w:left="6578" w:hanging="360"/>
      </w:pPr>
      <w:rPr>
        <w:rFonts w:ascii="Symbol" w:hAnsi="Symbol" w:hint="default"/>
      </w:rPr>
    </w:lvl>
    <w:lvl w:ilvl="7" w:tplc="04090003" w:tentative="1">
      <w:start w:val="1"/>
      <w:numFmt w:val="bullet"/>
      <w:lvlText w:val="o"/>
      <w:lvlJc w:val="left"/>
      <w:pPr>
        <w:ind w:left="7298" w:hanging="360"/>
      </w:pPr>
      <w:rPr>
        <w:rFonts w:ascii="Courier New" w:hAnsi="Courier New" w:cs="Courier New" w:hint="default"/>
      </w:rPr>
    </w:lvl>
    <w:lvl w:ilvl="8" w:tplc="04090005" w:tentative="1">
      <w:start w:val="1"/>
      <w:numFmt w:val="bullet"/>
      <w:lvlText w:val=""/>
      <w:lvlJc w:val="left"/>
      <w:pPr>
        <w:ind w:left="8018" w:hanging="360"/>
      </w:pPr>
      <w:rPr>
        <w:rFonts w:ascii="Wingdings" w:hAnsi="Wingdings" w:hint="default"/>
      </w:rPr>
    </w:lvl>
  </w:abstractNum>
  <w:abstractNum w:abstractNumId="2" w15:restartNumberingAfterBreak="0">
    <w:nsid w:val="1E8E6644"/>
    <w:multiLevelType w:val="hybridMultilevel"/>
    <w:tmpl w:val="DB6C50DA"/>
    <w:lvl w:ilvl="0" w:tplc="3FFAB06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6F16"/>
    <w:multiLevelType w:val="hybridMultilevel"/>
    <w:tmpl w:val="D64000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50900"/>
    <w:multiLevelType w:val="hybridMultilevel"/>
    <w:tmpl w:val="0486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56828"/>
    <w:multiLevelType w:val="hybridMultilevel"/>
    <w:tmpl w:val="37681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75C00"/>
    <w:multiLevelType w:val="hybridMultilevel"/>
    <w:tmpl w:val="0278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86896"/>
    <w:multiLevelType w:val="hybridMultilevel"/>
    <w:tmpl w:val="1616A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687164"/>
    <w:multiLevelType w:val="hybridMultilevel"/>
    <w:tmpl w:val="8B56F9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F6C24"/>
    <w:multiLevelType w:val="hybridMultilevel"/>
    <w:tmpl w:val="C1A08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361D8"/>
    <w:multiLevelType w:val="hybridMultilevel"/>
    <w:tmpl w:val="954CF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557A9"/>
    <w:multiLevelType w:val="hybridMultilevel"/>
    <w:tmpl w:val="813E8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E325B"/>
    <w:multiLevelType w:val="hybridMultilevel"/>
    <w:tmpl w:val="D64000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7460C"/>
    <w:multiLevelType w:val="hybridMultilevel"/>
    <w:tmpl w:val="D42897C6"/>
    <w:lvl w:ilvl="0" w:tplc="DDD27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35653"/>
    <w:multiLevelType w:val="hybridMultilevel"/>
    <w:tmpl w:val="B0648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7B25B6"/>
    <w:multiLevelType w:val="hybridMultilevel"/>
    <w:tmpl w:val="B490A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3"/>
  </w:num>
  <w:num w:numId="4">
    <w:abstractNumId w:val="3"/>
  </w:num>
  <w:num w:numId="5">
    <w:abstractNumId w:val="5"/>
  </w:num>
  <w:num w:numId="6">
    <w:abstractNumId w:val="11"/>
  </w:num>
  <w:num w:numId="7">
    <w:abstractNumId w:val="14"/>
  </w:num>
  <w:num w:numId="8">
    <w:abstractNumId w:val="1"/>
  </w:num>
  <w:num w:numId="9">
    <w:abstractNumId w:val="7"/>
  </w:num>
  <w:num w:numId="10">
    <w:abstractNumId w:val="8"/>
  </w:num>
  <w:num w:numId="11">
    <w:abstractNumId w:val="0"/>
  </w:num>
  <w:num w:numId="12">
    <w:abstractNumId w:val="10"/>
  </w:num>
  <w:num w:numId="13">
    <w:abstractNumId w:val="4"/>
  </w:num>
  <w:num w:numId="14">
    <w:abstractNumId w:val="1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7ADA"/>
    <w:rsid w:val="000873D4"/>
    <w:rsid w:val="00094AF9"/>
    <w:rsid w:val="000C0D70"/>
    <w:rsid w:val="000D3798"/>
    <w:rsid w:val="00103610"/>
    <w:rsid w:val="00104224"/>
    <w:rsid w:val="00112D70"/>
    <w:rsid w:val="001251FE"/>
    <w:rsid w:val="001E3134"/>
    <w:rsid w:val="001F0DCE"/>
    <w:rsid w:val="002059B8"/>
    <w:rsid w:val="00207DCF"/>
    <w:rsid w:val="00262806"/>
    <w:rsid w:val="002F4C05"/>
    <w:rsid w:val="00381C4A"/>
    <w:rsid w:val="00391071"/>
    <w:rsid w:val="00457183"/>
    <w:rsid w:val="0049652C"/>
    <w:rsid w:val="00496B70"/>
    <w:rsid w:val="004B2F5B"/>
    <w:rsid w:val="004B5F71"/>
    <w:rsid w:val="004B6E0B"/>
    <w:rsid w:val="004C4B25"/>
    <w:rsid w:val="005730A1"/>
    <w:rsid w:val="0057319E"/>
    <w:rsid w:val="005914AC"/>
    <w:rsid w:val="005B1024"/>
    <w:rsid w:val="005F6295"/>
    <w:rsid w:val="006045B6"/>
    <w:rsid w:val="00622A89"/>
    <w:rsid w:val="00631479"/>
    <w:rsid w:val="00662113"/>
    <w:rsid w:val="006949A8"/>
    <w:rsid w:val="006B40DA"/>
    <w:rsid w:val="0071146E"/>
    <w:rsid w:val="0073296E"/>
    <w:rsid w:val="00742CDA"/>
    <w:rsid w:val="00812077"/>
    <w:rsid w:val="00890319"/>
    <w:rsid w:val="00895A92"/>
    <w:rsid w:val="00923B0A"/>
    <w:rsid w:val="009C7FEC"/>
    <w:rsid w:val="00A3194A"/>
    <w:rsid w:val="00A37B56"/>
    <w:rsid w:val="00B44251"/>
    <w:rsid w:val="00B73B63"/>
    <w:rsid w:val="00BA5C4D"/>
    <w:rsid w:val="00BA5F47"/>
    <w:rsid w:val="00C34060"/>
    <w:rsid w:val="00C42425"/>
    <w:rsid w:val="00C67068"/>
    <w:rsid w:val="00C75CC9"/>
    <w:rsid w:val="00CE687B"/>
    <w:rsid w:val="00D24529"/>
    <w:rsid w:val="00D337FD"/>
    <w:rsid w:val="00D85F6F"/>
    <w:rsid w:val="00D8672E"/>
    <w:rsid w:val="00DB3258"/>
    <w:rsid w:val="00E145AD"/>
    <w:rsid w:val="00E23BA9"/>
    <w:rsid w:val="00EA624A"/>
    <w:rsid w:val="00EC4CB8"/>
    <w:rsid w:val="00ED22FC"/>
    <w:rsid w:val="00F403F6"/>
    <w:rsid w:val="00F5459D"/>
    <w:rsid w:val="00FA461F"/>
    <w:rsid w:val="00FD7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B83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672E"/>
    <w:pPr>
      <w:spacing w:after="200"/>
    </w:pPr>
    <w:rPr>
      <w:rFonts w:eastAsiaTheme="minorHAnsi"/>
      <w:b/>
      <w:bCs/>
      <w:color w:val="4F81BD" w:themeColor="accent1"/>
      <w:sz w:val="18"/>
      <w:szCs w:val="18"/>
    </w:rPr>
  </w:style>
  <w:style w:type="paragraph" w:styleId="BalloonText">
    <w:name w:val="Balloon Text"/>
    <w:basedOn w:val="Normal"/>
    <w:link w:val="BalloonTextChar"/>
    <w:uiPriority w:val="99"/>
    <w:semiHidden/>
    <w:unhideWhenUsed/>
    <w:rsid w:val="00D867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72E"/>
    <w:rPr>
      <w:rFonts w:ascii="Lucida Grande" w:hAnsi="Lucida Grande" w:cs="Lucida Grande"/>
      <w:sz w:val="18"/>
      <w:szCs w:val="18"/>
    </w:rPr>
  </w:style>
  <w:style w:type="paragraph" w:styleId="ListParagraph">
    <w:name w:val="List Paragraph"/>
    <w:basedOn w:val="Normal"/>
    <w:uiPriority w:val="34"/>
    <w:qFormat/>
    <w:rsid w:val="00D8672E"/>
    <w:pPr>
      <w:spacing w:after="200" w:line="276" w:lineRule="auto"/>
      <w:ind w:left="720"/>
      <w:contextualSpacing/>
    </w:pPr>
    <w:rPr>
      <w:rFonts w:eastAsiaTheme="minorHAnsi"/>
      <w:sz w:val="22"/>
      <w:szCs w:val="22"/>
    </w:rPr>
  </w:style>
  <w:style w:type="character" w:styleId="Hyperlink">
    <w:name w:val="Hyperlink"/>
    <w:basedOn w:val="DefaultParagraphFont"/>
    <w:uiPriority w:val="99"/>
    <w:unhideWhenUsed/>
    <w:rsid w:val="00BA5C4D"/>
    <w:rPr>
      <w:color w:val="0000FF" w:themeColor="hyperlink"/>
      <w:u w:val="single"/>
    </w:rPr>
  </w:style>
  <w:style w:type="character" w:styleId="PlaceholderText">
    <w:name w:val="Placeholder Text"/>
    <w:basedOn w:val="DefaultParagraphFont"/>
    <w:uiPriority w:val="99"/>
    <w:semiHidden/>
    <w:rsid w:val="006B40DA"/>
    <w:rPr>
      <w:color w:val="808080"/>
    </w:rPr>
  </w:style>
  <w:style w:type="table" w:styleId="TableGrid">
    <w:name w:val="Table Grid"/>
    <w:basedOn w:val="TableNormal"/>
    <w:uiPriority w:val="59"/>
    <w:rsid w:val="00ED2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RWU</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6</cp:revision>
  <cp:lastPrinted>2015-03-10T17:59:00Z</cp:lastPrinted>
  <dcterms:created xsi:type="dcterms:W3CDTF">2016-03-23T16:04:00Z</dcterms:created>
  <dcterms:modified xsi:type="dcterms:W3CDTF">2020-01-03T18:24:00Z</dcterms:modified>
</cp:coreProperties>
</file>