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hevn0icya3z" w:id="0"/>
      <w:bookmarkEnd w:id="0"/>
      <w:r w:rsidDel="00000000" w:rsidR="00000000" w:rsidRPr="00000000">
        <w:rPr>
          <w:sz w:val="46"/>
          <w:szCs w:val="46"/>
          <w:rtl w:val="0"/>
        </w:rPr>
        <w:t xml:space="preserve">Domain Expert Criteria for Mental Health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/>
        <w:jc w:val="both"/>
      </w:pPr>
      <w:r w:rsidDel="00000000" w:rsidR="00000000" w:rsidRPr="00000000">
        <w:rPr>
          <w:b w:val="1"/>
          <w:rtl w:val="0"/>
        </w:rPr>
        <w:t xml:space="preserve">Educational Background</w:t>
      </w:r>
      <w:r w:rsidDel="00000000" w:rsidR="00000000" w:rsidRPr="00000000">
        <w:rPr>
          <w:rtl w:val="0"/>
        </w:rPr>
        <w:t xml:space="preserve">: Professors, PostDocs, senior PhD students, researchers, or professionals with a minimum of a master's degree in psychology, psychiatry, clinical social work, counseling, or related fields.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/>
        <w:jc w:val="both"/>
      </w:pPr>
      <w:r w:rsidDel="00000000" w:rsidR="00000000" w:rsidRPr="00000000">
        <w:rPr>
          <w:b w:val="1"/>
          <w:rtl w:val="0"/>
        </w:rPr>
        <w:t xml:space="preserve">Clinical/Research Expertise</w:t>
      </w:r>
      <w:r w:rsidDel="00000000" w:rsidR="00000000" w:rsidRPr="00000000">
        <w:rPr>
          <w:rtl w:val="0"/>
        </w:rPr>
        <w:t xml:space="preserve">: Demonstrated clinical experience in the diagnosis and treatment of mental health disorders, substantiated by a background in patient care, documented case studies, or involvement in clinical trials.</w:t>
      </w:r>
    </w:p>
    <w:p w:rsidR="00000000" w:rsidDel="00000000" w:rsidP="00000000" w:rsidRDefault="00000000" w:rsidRPr="00000000" w14:paraId="00000004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Established history of engaging in research within the realm of mental health, characterized by contributions to scientific literature and presentations of findings at conferences or seminars.</w:t>
      </w:r>
    </w:p>
    <w:p w:rsidR="00000000" w:rsidDel="00000000" w:rsidP="00000000" w:rsidRDefault="00000000" w:rsidRPr="00000000" w14:paraId="0000000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Engagement in advocacy initiatives aimed at heightening awareness about mental health concerns, mitigating stigma, and fostering mental well-being.</w:t>
      </w:r>
    </w:p>
    <w:p w:rsidR="00000000" w:rsidDel="00000000" w:rsidP="00000000" w:rsidRDefault="00000000" w:rsidRPr="00000000" w14:paraId="00000008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Any combination of the aforementioned options, totaling a minimum of 4 years encompassing the selected criteria.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jc w:val="both"/>
      </w:pPr>
      <w:r w:rsidDel="00000000" w:rsidR="00000000" w:rsidRPr="00000000">
        <w:rPr>
          <w:b w:val="1"/>
          <w:rtl w:val="0"/>
        </w:rPr>
        <w:t xml:space="preserve">Therapeutic Modalities</w:t>
      </w:r>
      <w:r w:rsidDel="00000000" w:rsidR="00000000" w:rsidRPr="00000000">
        <w:rPr>
          <w:rtl w:val="0"/>
        </w:rPr>
        <w:t xml:space="preserve">: Proficiency in various therapeutic approaches, such as cognitive-behavioral therapy (CBT), psychotherapy, mindfulness-based interventions, or other evidence-based treatments.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jc w:val="both"/>
      </w:pPr>
      <w:r w:rsidDel="00000000" w:rsidR="00000000" w:rsidRPr="00000000">
        <w:rPr>
          <w:b w:val="1"/>
          <w:rtl w:val="0"/>
        </w:rPr>
        <w:t xml:space="preserve">Cultural Competence</w:t>
      </w:r>
      <w:r w:rsidDel="00000000" w:rsidR="00000000" w:rsidRPr="00000000">
        <w:rPr>
          <w:rtl w:val="0"/>
        </w:rPr>
        <w:t xml:space="preserve">: Understanding of cultural, societal, and socioeconomic factors that influence mental health, and the ability to provide culturally sensitive care and insights.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/>
        <w:jc w:val="both"/>
      </w:pPr>
      <w:r w:rsidDel="00000000" w:rsidR="00000000" w:rsidRPr="00000000">
        <w:rPr>
          <w:b w:val="1"/>
          <w:rtl w:val="0"/>
        </w:rPr>
        <w:t xml:space="preserve">Innovation and Collaboration</w:t>
      </w:r>
      <w:r w:rsidDel="00000000" w:rsidR="00000000" w:rsidRPr="00000000">
        <w:rPr>
          <w:rtl w:val="0"/>
        </w:rPr>
        <w:t xml:space="preserve">: Willingness to explore the ethical use of generative language technologies in counseling as well as addressing mental health challenges.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"/>
          <w:bookmarkEnd w:id="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0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2"/>
          <w:bookmarkEnd w:id="2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