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m9gdb6sgs64i" w:id="0"/>
      <w:bookmarkEnd w:id="0"/>
      <w:r w:rsidDel="00000000" w:rsidR="00000000" w:rsidRPr="00000000">
        <w:rPr>
          <w:sz w:val="64"/>
          <w:szCs w:val="64"/>
          <w:rtl w:val="0"/>
        </w:rPr>
        <w:t xml:space="preserve">QUALITATIVE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qvffz5xeyz" w:id="1"/>
      <w:bookmarkEnd w:id="1"/>
      <w:r w:rsidDel="00000000" w:rsidR="00000000" w:rsidRPr="00000000">
        <w:rPr>
          <w:rtl w:val="0"/>
        </w:rPr>
        <w:t xml:space="preserve">Climate Change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critical do you think the role of LLM-based chatbots can be in raising awareness about climate change among the general public?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 your opinion, what are the key challenges in generating accurate and reliable climate-related information using these chatbots?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From your expertise, what potential biases or misinformation were present in the evaluations that we should be cautious about when using chatbots to disseminate climate-related data?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Can these chatbots be deployed to facilitate climate change adaptation and mitigation strategies for vulnerable communities?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would you prioritize in a climate change-focused chatbot to enhance user engagement and understanding?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How do you foresee the integration of chatbots with other climate communication platforms or initiatives?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From your perspective, can these chatbots be leveraged to encourage sustainable behaviors and lifestyle changes among users?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Were the information provided by these chatbots up-to-date and relevant with respect to new scientific discoveries and data?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