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A2B4C"/>
          <w:sz w:val="30"/>
          <w:szCs w:val="30"/>
        </w:rPr>
        <w:t xml:space="preserve">INTERNATIONAL JOURNAL OF AYURVEDA</w:t>
      </w:r>
    </w:p>
    <w:p>
      <w:pPr>
        <w:pBdr>
          <w:bottom w:val="single" w:color="C8932A" w:sz="6" w:space="8"/>
        </w:pBdr>
        <w:spacing w:after="260"/>
        <w:jc w:val="center"/>
      </w:pPr>
      <w:r>
        <w:rPr>
          <w:rFonts w:ascii="Calibri" w:cs="Calibri" w:eastAsia="Calibri" w:hAnsi="Calibri"/>
          <w:i/>
          <w:iCs/>
          <w:color w:val="C8932A"/>
          <w:sz w:val="18"/>
          <w:szCs w:val="18"/>
        </w:rPr>
        <w:t xml:space="preserve">internationaljournalofayurveda.org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Patient/Participant Informed Consent Statement</w:t>
      </w:r>
    </w:p>
    <w:p>
      <w:pPr>
        <w:spacing w:after="240" w:line="280"/>
      </w:pPr>
      <w:r>
        <w:rPr>
          <w:rFonts w:ascii="Calibri" w:cs="Calibri" w:eastAsia="Calibri" w:hAnsi="Calibri"/>
          <w:i/>
          <w:iCs/>
          <w:color w:val="808080"/>
          <w:sz w:val="19"/>
          <w:szCs w:val="19"/>
        </w:rPr>
        <w:t xml:space="preserve">[Required for case reports and case series, particularly where identifiable information or photographs are included. This is a statement for the author to complete confirming consent was obtained — not the patient-facing consent form itself, which should be retained by the author/institution and produced if requested by the editorial office.]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Manuscript Title: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[Full title]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I/we confirm that written informed consent was obtained from the patient/participant (or their legal guardian, where applicable) for publication of this case report/case series, including any accompanying images, in the International Journal of Ayurveda and its associated online version. The patient/participant was informed that, despite the removal of identifying information, complete anonymity cannot be guaranteed.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Corresponding Author Name: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[Full name]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Signature: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[Signature]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Date: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[Date]</w:t>
      </w:r>
    </w:p>
    <w:p>
      <w:pPr>
        <w:spacing w:after="240" w:line="280"/>
      </w:pPr>
      <w:r>
        <w:rPr>
          <w:rFonts w:ascii="Calibri" w:cs="Calibri" w:eastAsia="Calibri" w:hAnsi="Calibri"/>
          <w:i/>
          <w:iCs/>
          <w:color w:val="808080"/>
          <w:sz w:val="19"/>
          <w:szCs w:val="19"/>
        </w:rPr>
        <w:t xml:space="preserve">If consent could not be obtained (e.g., deceased patient with no available next of kin), please state the circumstances here and contact the editorial office to discuss: [explanation]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2026-08-04T00:17:40.312Z</dcterms:created>
  <dcterms:modified xsi:type="dcterms:W3CDTF">2026-08-04T00:17:40.312Z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