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862" w:rsidRPr="00BF36BA" w:rsidRDefault="00BF36BA">
      <w:pPr>
        <w:shd w:val="clear" w:color="auto" w:fill="0000FF"/>
        <w:jc w:val="center"/>
        <w:rPr>
          <w:b/>
          <w:sz w:val="28"/>
          <w:szCs w:val="28"/>
        </w:rPr>
      </w:pPr>
      <w:r w:rsidRPr="00BF36BA">
        <w:rPr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17.95pt;margin-top:-40.15pt;width:116.65pt;height:34.25pt;z-index:-251658240;mso-position-horizontal-relative:text;mso-position-vertical-relative:text" wrapcoords="9288 0 -108 4393 -108 12814 9072 17573 10800 17573 972 19403 -108 19403 -108 21234 21492 21234 21600 19769 20304 19037 10800 17573 21384 17573 21600 14278 20844 11715 20736 5858 21600 2563 21600 1464 20628 0 9288 0">
            <v:imagedata r:id="rId6" o:title="Imagem-Novo-PAC"/>
            <w10:wrap type="tight"/>
          </v:shape>
        </w:pict>
      </w:r>
      <w:r w:rsidR="003E4382" w:rsidRPr="00BF36BA">
        <w:rPr>
          <w:b/>
          <w:noProof/>
          <w:sz w:val="28"/>
          <w:szCs w:val="28"/>
        </w:rPr>
        <w:t xml:space="preserve">Barragem Arroio Jaguari (Conclusão)</w:t>
      </w:r>
    </w:p>
    <w:p w:rsidR="00AC3862" w:rsidRDefault="00880AB8" w:rsidP="008A6348">
      <w:pPr>
        <w:shd w:val="clear" w:color="auto" w:fill="0000FF"/>
      </w:pPr>
      <w:r>
        <w:rPr>
          <w:color w:val="FFFFFF"/>
          <w:sz w:val="20"/>
          <w:szCs w:val="20"/>
        </w:rPr>
        <w:t xml:space="preserve">Id </w:t>
      </w:r>
      <w:proofErr w:type="spellStart"/>
      <w:r>
        <w:rPr>
          <w:color w:val="FFFFFF"/>
          <w:sz w:val="20"/>
          <w:szCs w:val="20"/>
        </w:rPr>
        <w:t>Governa</w:t>
      </w:r>
      <w:proofErr w:type="spellEnd"/>
      <w:r w:rsidR="008A6348" w:rsidRPr="007B69EC">
        <w:rPr>
          <w:color w:val="FFFFFF"/>
          <w:sz w:val="20"/>
          <w:szCs w:val="20"/>
        </w:rPr>
        <w:t xml:space="preserve">: </w:t>
      </w:r>
      <w:proofErr w:type="gramStart"/>
      <w:r w:rsidR="008A6348" w:rsidRPr="007B69EC">
        <w:rPr>
          <w:color w:val="FFFFFF"/>
          <w:sz w:val="20"/>
          <w:szCs w:val="20"/>
        </w:rPr>
        <w:t xml:space="preserve">1445.0   </w:t>
      </w:r>
      <w:r w:rsidR="008A6348" w:rsidRPr="007B69EC">
        <w:rPr>
          <w:color w:val="FFFFFF"/>
          <w:sz w:val="20"/>
          <w:szCs w:val="20"/>
        </w:rPr>
        <w:tab/>
      </w:r>
      <w:r w:rsidR="008A6348">
        <w:rPr>
          <w:color w:val="FFFFFF"/>
          <w:sz w:val="24"/>
        </w:rPr>
        <w:tab/>
      </w:r>
      <w:r w:rsidR="008A6348">
        <w:rPr>
          <w:color w:val="FFFFFF"/>
          <w:sz w:val="24"/>
        </w:rPr>
        <w:tab/>
      </w:r>
      <w:r w:rsidR="008A6348">
        <w:rPr>
          <w:color w:val="FFFFFF"/>
          <w:sz w:val="24"/>
        </w:rPr>
        <w:tab/>
      </w:r>
      <w:r w:rsidR="008A6348">
        <w:rPr>
          <w:color w:val="FFFFFF"/>
          <w:sz w:val="24"/>
        </w:rPr>
        <w:tab/>
      </w:r>
      <w:r w:rsidR="008A6348" w:rsidRPr="007B69EC">
        <w:rPr>
          <w:color w:val="FFFFFF"/>
          <w:sz w:val="20"/>
          <w:szCs w:val="20"/>
        </w:rPr>
        <w:t xml:space="preserve">     </w:t>
      </w:r>
      <w:r w:rsidR="007B69EC">
        <w:rPr>
          <w:color w:val="FFFFFF"/>
          <w:sz w:val="20"/>
          <w:szCs w:val="20"/>
        </w:rPr>
        <w:t xml:space="preserve">              </w:t>
      </w:r>
      <w:r w:rsidR="00C57141" w:rsidRPr="007B69EC">
        <w:rPr>
          <w:color w:val="FFFFFF"/>
          <w:sz w:val="20"/>
          <w:szCs w:val="20"/>
        </w:rPr>
        <w:t xml:space="preserve">Data de </w:t>
      </w:r>
      <w:proofErr w:type="spellStart"/>
      <w:r w:rsidR="00C57141" w:rsidRPr="007B69EC">
        <w:rPr>
          <w:color w:val="FFFFFF"/>
          <w:sz w:val="20"/>
          <w:szCs w:val="20"/>
        </w:rPr>
        <w:t>referência</w:t>
      </w:r>
      <w:proofErr w:type="spellEnd"/>
      <w:r w:rsidR="00C57141" w:rsidRPr="007B69EC">
        <w:rPr>
          <w:color w:val="FFFFFF"/>
          <w:sz w:val="20"/>
          <w:szCs w:val="20"/>
        </w:rPr>
        <w:t>: 30/04/2025</w:t>
      </w:r>
    </w:p>
    <w:p w:rsidR="00AC3862" w:rsidRDefault="001B27B7">
      <w:r>
        <w:t xml:space="preserve"> </w:t>
      </w:r>
    </w:p>
    <w:p w:rsidR="006433E3" w:rsidRDefault="006433E3">
      <w:proofErr w:type="gramStart"/>
      <w:r>
        <w:t xml:space="preserve"/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B69EC">
        <w:tc>
          <w:tcPr>
            <w:tcW w:w="4320" w:type="dxa"/>
          </w:tcPr>
          <w:p w:rsidR="00AC3862" w:rsidRDefault="007B69EC">
            <w:r>
              <w:t xml:space="preserve">UF:</w:t>
            </w:r>
          </w:p>
        </w:tc>
        <w:tc>
          <w:tcPr>
            <w:tcW w:w="4320" w:type="dxa"/>
          </w:tcPr>
          <w:p w:rsidR="00AC3862" w:rsidRDefault="00FA6B74">
            <w:r>
              <w:t xml:space="preserve">RS</w:t>
            </w:r>
          </w:p>
        </w:tc>
      </w:tr>
      <w:tr w:rsidR="007B69EC">
        <w:tc>
          <w:tcPr>
            <w:tcW w:w="4320" w:type="dxa"/>
          </w:tcPr>
          <w:p w:rsidR="00AC3862" w:rsidRDefault="00C57141">
            <w:r>
              <w:t>Meta:</w:t>
            </w:r>
          </w:p>
        </w:tc>
        <w:tc>
          <w:tcPr>
            <w:tcW w:w="4320" w:type="dxa"/>
          </w:tcPr>
          <w:p w:rsidR="00AC3862" w:rsidRDefault="00FA6B74">
            <w:r>
              <w:t xml:space="preserve">nan</w:t>
            </w:r>
          </w:p>
        </w:tc>
      </w:tr>
      <w:tr w:rsidR="007B69EC">
        <w:tc>
          <w:tcPr>
            <w:tcW w:w="4320" w:type="dxa"/>
          </w:tcPr>
          <w:p w:rsidR="00AC3862" w:rsidRDefault="00C57141">
            <w:r>
              <w:t>Executor:</w:t>
            </w:r>
          </w:p>
        </w:tc>
        <w:tc>
          <w:tcPr>
            <w:tcW w:w="4320" w:type="dxa"/>
          </w:tcPr>
          <w:p w:rsidR="00AC3862" w:rsidRDefault="00AC3862"/>
        </w:tc>
      </w:tr>
      <w:tr w:rsidR="007B69EC">
        <w:tc>
          <w:tcPr>
            <w:tcW w:w="4320" w:type="dxa"/>
          </w:tcPr>
          <w:p w:rsidR="00AC3862" w:rsidRDefault="00C57141">
            <w:r>
              <w:t xml:space="preserve">Data de </w:t>
            </w:r>
            <w:proofErr w:type="spellStart"/>
            <w:r>
              <w:t>início</w:t>
            </w:r>
            <w:proofErr w:type="spellEnd"/>
            <w:r>
              <w:t xml:space="preserve">:</w:t>
            </w:r>
          </w:p>
        </w:tc>
        <w:tc>
          <w:tcPr>
            <w:tcW w:w="4320" w:type="dxa"/>
          </w:tcPr>
          <w:p w:rsidR="00AC3862" w:rsidRDefault="005D6D8F">
            <w:r>
              <w:t xml:space="preserve">nan</w:t>
            </w:r>
          </w:p>
        </w:tc>
      </w:tr>
      <w:tr w:rsidR="007B69EC">
        <w:tc>
          <w:tcPr>
            <w:tcW w:w="4320" w:type="dxa"/>
          </w:tcPr>
          <w:p w:rsidR="00AC3862" w:rsidRDefault="00C57141">
            <w:r>
              <w:t xml:space="preserve">Data de </w:t>
            </w:r>
            <w:proofErr w:type="spellStart"/>
            <w:r>
              <w:t>conclusão</w:t>
            </w:r>
            <w:proofErr w:type="spellEnd"/>
            <w:r>
              <w:t xml:space="preserve">:</w:t>
            </w:r>
          </w:p>
        </w:tc>
        <w:tc>
          <w:tcPr>
            <w:tcW w:w="4320" w:type="dxa"/>
          </w:tcPr>
          <w:p w:rsidR="00AC3862" w:rsidRDefault="005D6D8F">
            <w:r>
              <w:t xml:space="preserve">nan</w:t>
            </w:r>
          </w:p>
        </w:tc>
      </w:tr>
      <w:tr w:rsidR="007B69EC">
        <w:tc>
          <w:tcPr>
            <w:tcW w:w="4320" w:type="dxa"/>
          </w:tcPr>
          <w:p w:rsidR="00AC3862" w:rsidRDefault="00C57141">
            <w:proofErr w:type="spellStart"/>
            <w:r>
              <w:t>Situação</w:t>
            </w:r>
            <w:proofErr w:type="spellEnd"/>
            <w:r>
              <w:t xml:space="preserve">:</w:t>
            </w:r>
          </w:p>
        </w:tc>
        <w:tc>
          <w:tcPr>
            <w:tcW w:w="4320" w:type="dxa"/>
          </w:tcPr>
          <w:p w:rsidR="00AC3862" w:rsidRDefault="00B7252F" w:rsidP="00297DCA">
            <w:r>
              <w:t xml:space="preserve">Em andamento</w:t>
            </w:r>
          </w:p>
        </w:tc>
      </w:tr>
      <w:tr w:rsidR="007B69EC">
        <w:tc>
          <w:tcPr>
            <w:tcW w:w="4320" w:type="dxa"/>
          </w:tcPr>
          <w:p w:rsidR="00AC3862" w:rsidRDefault="00C57141">
            <w:proofErr w:type="spellStart"/>
            <w:r>
              <w:t>Empreendimento</w:t>
            </w:r>
            <w:proofErr w:type="spellEnd"/>
            <w:r>
              <w:t xml:space="preserve"> </w:t>
            </w:r>
            <w:proofErr w:type="spellStart"/>
            <w:r>
              <w:t>paralisado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:rsidR="00AC3862" w:rsidRDefault="00AC3862"/>
        </w:tc>
      </w:tr>
      <w:tr w:rsidR="007B69EC">
        <w:tc>
          <w:tcPr>
            <w:tcW w:w="4320" w:type="dxa"/>
          </w:tcPr>
          <w:p w:rsidR="00AC3862" w:rsidRDefault="00C57141">
            <w:proofErr w:type="spellStart"/>
            <w:r>
              <w:t>Execução</w:t>
            </w:r>
            <w:proofErr w:type="spellEnd"/>
            <w:r>
              <w:t xml:space="preserve"> </w:t>
            </w:r>
            <w:proofErr w:type="spellStart"/>
            <w:r>
              <w:t xml:space="preserve">física</w:t>
            </w:r>
            <w:proofErr w:type="spellEnd"/>
            <w:r>
              <w:t xml:space="preserve"> (%):</w:t>
            </w:r>
          </w:p>
        </w:tc>
        <w:tc>
          <w:tcPr>
            <w:tcW w:w="4320" w:type="dxa"/>
          </w:tcPr>
          <w:p w:rsidR="00AC3862" w:rsidRDefault="00E511DA" w:rsidP="00964B62">
            <w:r>
              <w:t xml:space="preserve"/>
            </w:r>
          </w:p>
        </w:tc>
      </w:tr>
      <w:tr w:rsidR="007B69EC">
        <w:tc>
          <w:tcPr>
            <w:tcW w:w="4320" w:type="dxa"/>
          </w:tcPr>
          <w:p w:rsidR="00AC3862" w:rsidRDefault="00C57141">
            <w:r>
              <w:t xml:space="preserve">Valor do </w:t>
            </w:r>
            <w:proofErr w:type="spellStart"/>
            <w:r>
              <w:t>empreendimento</w:t>
            </w:r>
            <w:proofErr w:type="spellEnd"/>
            <w:r>
              <w:t xml:space="preserve">:</w:t>
            </w:r>
          </w:p>
        </w:tc>
        <w:tc>
          <w:tcPr>
            <w:tcW w:w="4320" w:type="dxa"/>
          </w:tcPr>
          <w:p w:rsidR="00AC3862" w:rsidRDefault="009E6BFB">
            <w:r>
              <w:t xml:space="preserve">R$ 52.897.004,03</w:t>
            </w:r>
          </w:p>
        </w:tc>
      </w:tr>
      <w:tr w:rsidR="007B69EC">
        <w:tc>
          <w:tcPr>
            <w:tcW w:w="4320" w:type="dxa"/>
          </w:tcPr>
          <w:p w:rsidR="00AC3862" w:rsidRDefault="00C57141">
            <w:r>
              <w:t xml:space="preserve">Id </w:t>
            </w:r>
            <w:proofErr w:type="spellStart"/>
            <w:r>
              <w:t>Governa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:rsidR="00AC3862" w:rsidRDefault="005D6D8F">
            <w:r>
              <w:t xml:space="preserve">1445.0</w:t>
            </w:r>
          </w:p>
        </w:tc>
      </w:tr>
    </w:tbl>
    <w:p w:rsidR="007B69EC" w:rsidRDefault="007B69EC"/>
    <w:p w:rsidR="00AC3862" w:rsidRDefault="00C57141">
      <w:pPr>
        <w:pStyle w:val="Ttulo2"/>
      </w:pPr>
      <w:proofErr w:type="spellStart"/>
      <w:r>
        <w:t>Resultados</w:t>
      </w:r>
      <w:proofErr w:type="spellEnd"/>
      <w:r>
        <w:t xml:space="preserve">:</w:t>
      </w:r>
    </w:p>
    <w:p w:rsidR="006433E3" w:rsidRDefault="006433E3">
      <w:proofErr w:type="gramStart"/>
      <w:r>
        <w:t xml:space="preserve">Empenho complementar de R$ 2.885.791,00 em 18/10/2024. Estado apresentou, em dezembro de 2024, novo plano de trabalho, contendo previsão atualizada de investimentos e o novo cronograma de desembolso ajustado conforme a previsão de execução do objeto, em atenção à Portaria Conjunta 32/2024. Segue sob análise técnica no MIDR.</w:t>
      </w:r>
    </w:p>
    <w:p w:rsidR="00EE1929" w:rsidRDefault="00EE1929" w:rsidP="00EE1929">
      <w:pPr>
        <w:pStyle w:val="Ttulo2"/>
      </w:pPr>
      <w:proofErr w:type="spellStart"/>
      <w:r w:rsidRPr="00EE1929">
        <w:t>Restrições</w:t>
      </w:r>
      <w:proofErr w:type="spellEnd"/>
      <w:r>
        <w:t xml:space="preserve">:</w:t>
      </w:r>
    </w:p>
    <w:p w:rsidR="008A6348" w:rsidRPr="00EE1929" w:rsidRDefault="006433E3" w:rsidP="00EE1929">
      <w:proofErr w:type="gramStart"/>
      <w:r>
        <w:t xml:space="preserve">Estado informou, no início de março de 2024, necessidade de aporte de R$ 57 milhões para conclusão da obra (ampliação de meta). Indicou previsão de conclusão para março de 2026, considerando diversos levantamentos construtivos e ambientais necessários. Impende registrar que em março de 2024 houve a formalização dos Termos aditivos dos Contratos de Construção das Obras (fases I e II), fato que ensejou a redução dos percentuais de execução físico-financeiro das obras. Plano de trabalho não sofreu alteração até o momento. Repasses de recursos dependem de orientações de caráter jurídico, no âmbito do Ministério, a respeito das alterações contratuais. Necessidade de ajustar Termo de Compromisso da Portaria Interministerial nº 130/2013 à Portaria Conjunta MGI/MF/CGU Nº 32/2024. Recomendação jurídica para que, antes da liberação de novos recursos, seja realizada verificação dos projetos, com a respectiva análise de custos, nos termos do Decreto nº 7.983/2013.</w:t>
      </w:r>
    </w:p>
    <w:p w:rsidR="00AC3862" w:rsidRDefault="00C57141">
      <w:pPr>
        <w:pStyle w:val="Ttulo2"/>
      </w:pPr>
      <w:proofErr w:type="spellStart"/>
      <w:r>
        <w:t>Observações</w:t>
      </w:r>
      <w:proofErr w:type="spellEnd"/>
      <w:r>
        <w:t xml:space="preserve">:</w:t>
      </w:r>
    </w:p>
    <w:p w:rsidR="006433E3" w:rsidRDefault="006433E3">
      <w:proofErr w:type="gramStart"/>
      <w:r>
        <w:t xml:space="preserve">Autos encaminhados pela CGSOB à RESUL em 02/01/2025 c Parecer da Conjur ref ao TC apresentado pelo Estado do RS.</w:t>
      </w:r>
    </w:p>
    <w:p w:rsidR="00AC3862" w:rsidRDefault="00C57141">
      <w:pPr>
        <w:pStyle w:val="Ttulo2"/>
      </w:pPr>
      <w:proofErr w:type="spellStart"/>
      <w:r>
        <w:t>Providências</w:t>
      </w:r>
      <w:proofErr w:type="spellEnd"/>
      <w:r>
        <w:t xml:space="preserve">:</w:t>
      </w:r>
    </w:p>
    <w:p w:rsidR="00AC3862" w:rsidRDefault="006433E3">
      <w:proofErr w:type="gramStart"/>
      <w:r>
        <w:t xml:space="preserve">MIDR deve analisar, até 15/02/2025, novo plano de trabalho, contendo previsão atualizada de investimentos e o novo cronograma de desembolso ajustado conforme a previsão de execução do objeto, em atenção à Portaria Conjunta 32/2024. MIDR deve avaliar, até 31/01/2025, as pendências para adequação do termo de compromisso à Portaria Conjunta MGI/MF/CGU Nº 32/2024. MIDR deve realizar empenho complementar. Previsão depende da LOA 2025.</w:t>
      </w:r>
    </w:p>
    <w:p w:rsidR="00AC3862" w:rsidRDefault="00C57141">
      <w:pPr>
        <w:pStyle w:val="Ttulo2"/>
      </w:pPr>
      <w:proofErr w:type="spellStart"/>
      <w:r>
        <w:t>Execução</w:t>
      </w:r>
      <w:proofErr w:type="spellEnd"/>
      <w:r>
        <w:t xml:space="preserve"> </w:t>
      </w:r>
      <w:proofErr w:type="spellStart"/>
      <w:r>
        <w:t>Financeira</w:t>
      </w:r>
      <w:proofErr w:type="spellEnd"/>
      <w:r>
        <w:t xml:space="preserve"> - NOVO PAC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9"/>
        <w:gridCol w:w="1129"/>
        <w:gridCol w:w="571"/>
        <w:gridCol w:w="571"/>
        <w:gridCol w:w="571"/>
        <w:gridCol w:w="571"/>
        <w:gridCol w:w="983"/>
        <w:gridCol w:w="425"/>
        <w:gridCol w:w="851"/>
        <w:gridCol w:w="2085"/>
      </w:tblGrid>
      <w:tr w:rsidR="006433E3" w:rsidTr="00FA6B74">
        <w:tc>
          <w:tcPr>
            <w:tcW w:w="109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Novo PAC</w:t>
            </w:r>
          </w:p>
        </w:tc>
        <w:tc>
          <w:tcPr>
            <w:tcW w:w="112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proofErr w:type="spellStart"/>
            <w:r w:rsidRPr="00FA6B74">
              <w:rPr>
                <w:sz w:val="16"/>
                <w:szCs w:val="16"/>
              </w:rPr>
              <w:t>Até</w:t>
            </w:r>
            <w:proofErr w:type="spellEnd"/>
            <w:r w:rsidRPr="00FA6B74">
              <w:rPr>
                <w:sz w:val="16"/>
                <w:szCs w:val="16"/>
              </w:rPr>
              <w:t xml:space="preserve"> 2022</w:t>
            </w: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2023</w:t>
            </w: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2024</w:t>
            </w: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2025</w:t>
            </w: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2026</w:t>
            </w:r>
          </w:p>
        </w:tc>
        <w:tc>
          <w:tcPr>
            <w:tcW w:w="983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2023-2026</w:t>
            </w:r>
          </w:p>
        </w:tc>
        <w:tc>
          <w:tcPr>
            <w:tcW w:w="42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%</w:t>
            </w:r>
          </w:p>
        </w:tc>
        <w:tc>
          <w:tcPr>
            <w:tcW w:w="85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proofErr w:type="spellStart"/>
            <w:r w:rsidRPr="00FA6B74">
              <w:rPr>
                <w:sz w:val="16"/>
                <w:szCs w:val="16"/>
              </w:rPr>
              <w:t>Pós</w:t>
            </w:r>
            <w:proofErr w:type="spellEnd"/>
            <w:r w:rsidRPr="00FA6B74">
              <w:rPr>
                <w:sz w:val="16"/>
                <w:szCs w:val="16"/>
              </w:rPr>
              <w:t xml:space="preserve"> 2026</w:t>
            </w:r>
          </w:p>
        </w:tc>
        <w:tc>
          <w:tcPr>
            <w:tcW w:w="208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 xml:space="preserve">Total </w:t>
            </w:r>
            <w:proofErr w:type="spellStart"/>
            <w:r w:rsidRPr="00FA6B74">
              <w:rPr>
                <w:sz w:val="16"/>
                <w:szCs w:val="16"/>
              </w:rPr>
              <w:t>Geral</w:t>
            </w:r>
            <w:proofErr w:type="spellEnd"/>
          </w:p>
        </w:tc>
      </w:tr>
      <w:tr w:rsidR="006433E3" w:rsidTr="00FA6B74">
        <w:tc>
          <w:tcPr>
            <w:tcW w:w="109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proofErr w:type="spellStart"/>
            <w:r w:rsidRPr="00FA6B74">
              <w:rPr>
                <w:sz w:val="16"/>
                <w:szCs w:val="16"/>
              </w:rPr>
              <w:t>Planejado</w:t>
            </w:r>
            <w:proofErr w:type="spellEnd"/>
          </w:p>
        </w:tc>
        <w:tc>
          <w:tcPr>
            <w:tcW w:w="112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3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</w:tr>
      <w:tr w:rsidR="006433E3" w:rsidTr="00FA6B74">
        <w:tc>
          <w:tcPr>
            <w:tcW w:w="109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proofErr w:type="spellStart"/>
            <w:r w:rsidRPr="00FA6B74">
              <w:rPr>
                <w:sz w:val="16"/>
                <w:szCs w:val="16"/>
              </w:rPr>
              <w:t>Empenhado</w:t>
            </w:r>
            <w:proofErr w:type="spellEnd"/>
          </w:p>
        </w:tc>
        <w:tc>
          <w:tcPr>
            <w:tcW w:w="112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3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</w:tr>
      <w:tr w:rsidR="006433E3" w:rsidTr="00FA6B74">
        <w:tc>
          <w:tcPr>
            <w:tcW w:w="109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Pago</w:t>
            </w:r>
          </w:p>
        </w:tc>
        <w:tc>
          <w:tcPr>
            <w:tcW w:w="112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3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</w:tr>
    </w:tbl>
    <w:p w:rsidR="00C57141" w:rsidRDefault="006433E3">
      <w:r>
        <w:rPr>
          <w:noProof/>
          <w:lang w:val="pt-BR" w:eastAsia="pt-BR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1182370</wp:posOffset>
            </wp:positionV>
            <wp:extent cx="6438900" cy="3743325"/>
            <wp:effectExtent l="0" t="0" r="0" b="9525"/>
            <wp:wrapSquare wrapText="bothSides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al_obra_resiz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71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2B7E"/>
    <w:rsid w:val="0015074B"/>
    <w:rsid w:val="001B27B7"/>
    <w:rsid w:val="0029639D"/>
    <w:rsid w:val="00297DCA"/>
    <w:rsid w:val="003232FC"/>
    <w:rsid w:val="00326F90"/>
    <w:rsid w:val="003E4382"/>
    <w:rsid w:val="005D6D8F"/>
    <w:rsid w:val="006433E3"/>
    <w:rsid w:val="007B69EC"/>
    <w:rsid w:val="00880AB8"/>
    <w:rsid w:val="008A6348"/>
    <w:rsid w:val="00964B62"/>
    <w:rsid w:val="009E6BFB"/>
    <w:rsid w:val="00AA1D8D"/>
    <w:rsid w:val="00AC3862"/>
    <w:rsid w:val="00B3533E"/>
    <w:rsid w:val="00B47730"/>
    <w:rsid w:val="00B7252F"/>
    <w:rsid w:val="00BF36BA"/>
    <w:rsid w:val="00C57141"/>
    <w:rsid w:val="00CB0664"/>
    <w:rsid w:val="00E511DA"/>
    <w:rsid w:val="00EE1929"/>
    <w:rsid w:val="00FA6B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  <w15:docId w15:val="{ABB651DD-CC52-4B53-9B5F-08BA387D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9EC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88F6C1-E3AB-4960-8881-7F577F465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105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Walyson da Costa Ferreira</cp:lastModifiedBy>
  <cp:revision>16</cp:revision>
  <dcterms:created xsi:type="dcterms:W3CDTF">2013-12-23T23:15:00Z</dcterms:created>
  <dcterms:modified xsi:type="dcterms:W3CDTF">2025-05-21T12:57:00Z</dcterms:modified>
  <cp:category/>
  <dc:identifier/>
  <dc:language/>
</cp:coreProperties>
</file>