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BBF3E"/>
          <w:sz w:val="20"/>
          <w:szCs w:val="20"/>
        </w:rPr>
        <w:t xml:space="preserve">FPT Exam</w:t>
      </w:r>
    </w:p>
    <w:p>
      <w:pPr>
        <w:spacing w:after="120"/>
      </w:pPr>
      <w:r>
        <w:rPr>
          <w:rFonts w:ascii="Arial" w:cs="Arial" w:eastAsia="Arial" w:hAnsi="Arial"/>
          <w:b/>
          <w:bCs/>
          <w:color w:val="1B2A22"/>
          <w:sz w:val="40"/>
          <w:szCs w:val="40"/>
        </w:rPr>
        <w:t xml:space="preserve">Build plan from 9 September 2026</w:t>
      </w:r>
    </w:p>
    <w:p>
      <w:pPr>
        <w:keepLines/>
        <w:spacing w:after="120" w:line="300"/>
      </w:pPr>
      <w:r>
        <w:rPr>
          <w:rFonts w:ascii="Arial" w:cs="Arial" w:eastAsia="Arial" w:hAnsi="Arial"/>
          <w:color w:val="5D6B60"/>
          <w:sz w:val="21"/>
          <w:szCs w:val="21"/>
        </w:rPr>
        <w:t xml:space="preserve">Agreed between Melanie Schutte (FPT Academy) and Claude on 9 September 2026. This is the order of work from here. It follows the restructure decisions of 5–9 September (the rules) and replaces the earlier “order of work” list.</w:t>
      </w:r>
    </w:p>
    <w:p>
      <w:pPr>
        <w:pStyle w:val="Heading1"/>
        <w:keepNext/>
        <w:keepLines/>
        <w:spacing w:after="120" w:before="360"/>
      </w:pPr>
      <w:r>
        <w:rPr>
          <w:rFonts w:ascii="Arial" w:cs="Arial" w:eastAsia="Arial" w:hAnsi="Arial"/>
          <w:b/>
          <w:bCs/>
          <w:color w:val="2E86AB"/>
          <w:sz w:val="30"/>
          <w:szCs w:val="30"/>
        </w:rPr>
        <w:t xml:space="preserve">1. Standing rules</w:t>
      </w:r>
    </w:p>
    <w:p>
      <w:pPr>
        <w:keepLines/>
        <w:spacing w:after="120" w:line="300"/>
      </w:pPr>
      <w:r>
        <w:rPr>
          <w:rFonts w:ascii="Arial" w:cs="Arial" w:eastAsia="Arial" w:hAnsi="Arial"/>
          <w:color w:val="1B2A22"/>
          <w:sz w:val="21"/>
          <w:szCs w:val="21"/>
        </w:rPr>
        <w:t xml:space="preserve">Every block below respects these; they are already decided.</w:t>
      </w:r>
    </w:p>
    <w:p>
      <w:pPr>
        <w:pStyle w:val="ListParagraph"/>
        <w:keepLines/>
        <w:numPr>
          <w:ilvl w:val="0"/>
          <w:numId w:val="2"/>
        </w:numPr>
        <w:spacing w:after="80" w:line="290"/>
      </w:pPr>
      <w:r>
        <w:rPr>
          <w:rFonts w:ascii="Arial" w:cs="Arial" w:eastAsia="Arial" w:hAnsi="Arial"/>
          <w:b/>
          <w:bCs/>
          <w:color w:val="2E86AB"/>
          <w:sz w:val="21"/>
          <w:szCs w:val="21"/>
        </w:rPr>
        <w:t xml:space="preserve">Four routes into an assessment. </w:t>
      </w:r>
      <w:r>
        <w:rPr>
          <w:rFonts w:ascii="Arial" w:cs="Arial" w:eastAsia="Arial" w:hAnsi="Arial"/>
          <w:color w:val="1B2A22"/>
          <w:sz w:val="21"/>
          <w:szCs w:val="21"/>
        </w:rPr>
        <w:t xml:space="preserve">QCTO FISA/EISA papers only from Curricula Builder; legacy FISA drafted from SAQA; non-QCTO assessments built here; other Curricula Builder courses linked in. Never a QCTO paper built on FPT Exam.</w:t>
      </w:r>
    </w:p>
    <w:p>
      <w:pPr>
        <w:pStyle w:val="ListParagraph"/>
        <w:keepLines/>
        <w:numPr>
          <w:ilvl w:val="0"/>
          <w:numId w:val="2"/>
        </w:numPr>
        <w:spacing w:after="80" w:line="290"/>
      </w:pPr>
      <w:r>
        <w:rPr>
          <w:rFonts w:ascii="Arial" w:cs="Arial" w:eastAsia="Arial" w:hAnsi="Arial"/>
          <w:b/>
          <w:bCs/>
          <w:color w:val="2E86AB"/>
          <w:sz w:val="21"/>
          <w:szCs w:val="21"/>
        </w:rPr>
        <w:t xml:space="preserve">Every sitting is proctored </w:t>
      </w:r>
      <w:r>
        <w:rPr>
          <w:rFonts w:ascii="Arial" w:cs="Arial" w:eastAsia="Arial" w:hAnsi="Arial"/>
          <w:color w:val="1B2A22"/>
          <w:sz w:val="21"/>
          <w:szCs w:val="21"/>
        </w:rPr>
        <w:t xml:space="preserve">to the QCTO requirement. No modes.</w:t>
      </w:r>
    </w:p>
    <w:p>
      <w:pPr>
        <w:pStyle w:val="ListParagraph"/>
        <w:keepLines/>
        <w:numPr>
          <w:ilvl w:val="0"/>
          <w:numId w:val="2"/>
        </w:numPr>
        <w:spacing w:after="80" w:line="290"/>
      </w:pPr>
      <w:r>
        <w:rPr>
          <w:rFonts w:ascii="Arial" w:cs="Arial" w:eastAsia="Arial" w:hAnsi="Arial"/>
          <w:b/>
          <w:bCs/>
          <w:color w:val="2E86AB"/>
          <w:sz w:val="21"/>
          <w:szCs w:val="21"/>
        </w:rPr>
        <w:t xml:space="preserve">The standard check is the gate. </w:t>
      </w:r>
      <w:r>
        <w:rPr>
          <w:rFonts w:ascii="Arial" w:cs="Arial" w:eastAsia="Arial" w:hAnsi="Arial"/>
          <w:color w:val="1B2A22"/>
          <w:sz w:val="21"/>
          <w:szCs w:val="21"/>
        </w:rPr>
        <w:t xml:space="preserve">Coverage of every outcome and criterion, Bloom’s demand against the NQF band, rubric quality, time. Blocked papers are fixed (by AI or by hand) or overridden with an audited reason.</w:t>
      </w:r>
    </w:p>
    <w:p>
      <w:pPr>
        <w:pStyle w:val="ListParagraph"/>
        <w:keepLines/>
        <w:numPr>
          <w:ilvl w:val="0"/>
          <w:numId w:val="2"/>
        </w:numPr>
        <w:spacing w:after="80" w:line="290"/>
      </w:pPr>
      <w:r>
        <w:rPr>
          <w:rFonts w:ascii="Arial" w:cs="Arial" w:eastAsia="Arial" w:hAnsi="Arial"/>
          <w:b/>
          <w:bCs/>
          <w:color w:val="2E86AB"/>
          <w:sz w:val="21"/>
          <w:szCs w:val="21"/>
        </w:rPr>
        <w:t xml:space="preserve">AI assesses, assessor endorses. </w:t>
      </w:r>
      <w:r>
        <w:rPr>
          <w:rFonts w:ascii="Arial" w:cs="Arial" w:eastAsia="Arial" w:hAnsi="Arial"/>
          <w:color w:val="1B2A22"/>
          <w:sz w:val="21"/>
          <w:szCs w:val="21"/>
        </w:rPr>
        <w:t xml:space="preserve">The assessor’s sign-off is the only release event. Moderation and verification run in FPTStaff unless decided otherwise (open decision 2).</w:t>
      </w:r>
    </w:p>
    <w:p>
      <w:pPr>
        <w:pStyle w:val="ListParagraph"/>
        <w:keepLines/>
        <w:numPr>
          <w:ilvl w:val="0"/>
          <w:numId w:val="2"/>
        </w:numPr>
        <w:spacing w:after="80" w:line="290"/>
      </w:pPr>
      <w:r>
        <w:rPr>
          <w:rFonts w:ascii="Arial" w:cs="Arial" w:eastAsia="Arial" w:hAnsi="Arial"/>
          <w:b/>
          <w:bCs/>
          <w:color w:val="2E86AB"/>
          <w:sz w:val="21"/>
          <w:szCs w:val="21"/>
        </w:rPr>
        <w:t xml:space="preserve">Data minimisation. </w:t>
      </w:r>
      <w:r>
        <w:rPr>
          <w:rFonts w:ascii="Arial" w:cs="Arial" w:eastAsia="Arial" w:hAnsi="Arial"/>
          <w:color w:val="1B2A22"/>
          <w:sz w:val="21"/>
          <w:szCs w:val="21"/>
        </w:rPr>
        <w:t xml:space="preserve">FPT Exam holds what an exam needs. Learner ID number and student number are stored encrypted, masked on screen, printed in full only on the Statement of Results. Proctoring evidence is kept 12 months then deleted (hold flag for appeals).</w:t>
      </w:r>
    </w:p>
    <w:p>
      <w:pPr>
        <w:pStyle w:val="ListParagraph"/>
        <w:keepLines/>
        <w:numPr>
          <w:ilvl w:val="0"/>
          <w:numId w:val="2"/>
        </w:numPr>
        <w:spacing w:after="80" w:line="290"/>
      </w:pPr>
      <w:r>
        <w:rPr>
          <w:rFonts w:ascii="Arial" w:cs="Arial" w:eastAsia="Arial" w:hAnsi="Arial"/>
          <w:b/>
          <w:bCs/>
          <w:color w:val="2E86AB"/>
          <w:sz w:val="21"/>
          <w:szCs w:val="21"/>
        </w:rPr>
        <w:t xml:space="preserve">The Administrator never handles a password. </w:t>
      </w:r>
      <w:r>
        <w:rPr>
          <w:rFonts w:ascii="Arial" w:cs="Arial" w:eastAsia="Arial" w:hAnsi="Arial"/>
          <w:color w:val="1B2A22"/>
          <w:sz w:val="21"/>
          <w:szCs w:val="21"/>
        </w:rPr>
        <w:t xml:space="preserve">People receive a one-use set-up link.</w:t>
      </w:r>
    </w:p>
    <w:p>
      <w:pPr>
        <w:pStyle w:val="ListParagraph"/>
        <w:keepLines/>
        <w:numPr>
          <w:ilvl w:val="0"/>
          <w:numId w:val="2"/>
        </w:numPr>
        <w:spacing w:after="80" w:line="290"/>
      </w:pPr>
      <w:r>
        <w:rPr>
          <w:rFonts w:ascii="Arial" w:cs="Arial" w:eastAsia="Arial" w:hAnsi="Arial"/>
          <w:b/>
          <w:bCs/>
          <w:color w:val="2E86AB"/>
          <w:sz w:val="21"/>
          <w:szCs w:val="21"/>
        </w:rPr>
        <w:t xml:space="preserve">Systems of record. </w:t>
      </w:r>
      <w:r>
        <w:rPr>
          <w:rFonts w:ascii="Arial" w:cs="Arial" w:eastAsia="Arial" w:hAnsi="Arial"/>
          <w:color w:val="1B2A22"/>
          <w:sz w:val="21"/>
          <w:szCs w:val="21"/>
        </w:rPr>
        <w:t xml:space="preserve">FPTStaff for people; Curricula Builder for QCTO papers. Until they are connected, FPT Exam captures locally and syncs later.</w:t>
      </w:r>
    </w:p>
    <w:p>
      <w:pPr>
        <w:pStyle w:val="ListParagraph"/>
        <w:keepLines/>
        <w:numPr>
          <w:ilvl w:val="0"/>
          <w:numId w:val="2"/>
        </w:numPr>
        <w:spacing w:after="80" w:line="290"/>
      </w:pPr>
      <w:r>
        <w:rPr>
          <w:rFonts w:ascii="Arial" w:cs="Arial" w:eastAsia="Arial" w:hAnsi="Arial"/>
          <w:b/>
          <w:bCs/>
          <w:color w:val="2E86AB"/>
          <w:sz w:val="21"/>
          <w:szCs w:val="21"/>
        </w:rPr>
        <w:t xml:space="preserve">Delivery is by GitHub to Replit. </w:t>
      </w:r>
      <w:r>
        <w:rPr>
          <w:rFonts w:ascii="Arial" w:cs="Arial" w:eastAsia="Arial" w:hAnsi="Arial"/>
          <w:color w:val="1B2A22"/>
          <w:sz w:val="21"/>
          <w:szCs w:val="21"/>
        </w:rPr>
        <w:t xml:space="preserve">Push origin, Pull, Run. No Shell steps.</w:t>
      </w:r>
    </w:p>
    <w:p>
      <w:pPr>
        <w:pStyle w:val="Heading1"/>
        <w:keepNext/>
        <w:keepLines/>
        <w:spacing w:after="120" w:before="360"/>
      </w:pPr>
      <w:r>
        <w:rPr>
          <w:rFonts w:ascii="Arial" w:cs="Arial" w:eastAsia="Arial" w:hAnsi="Arial"/>
          <w:b/>
          <w:bCs/>
          <w:color w:val="2E86AB"/>
          <w:sz w:val="30"/>
          <w:szCs w:val="30"/>
        </w:rPr>
        <w:t xml:space="preserve">2. The blocks, in order</w:t>
      </w:r>
    </w:p>
    <w:p>
      <w:pPr>
        <w:pStyle w:val="Heading2"/>
        <w:keepNext/>
        <w:keepLines/>
        <w:spacing w:after="80" w:before="260"/>
      </w:pPr>
      <w:r>
        <w:rPr>
          <w:rFonts w:ascii="Arial" w:cs="Arial" w:eastAsia="Arial" w:hAnsi="Arial"/>
          <w:b/>
          <w:bCs/>
          <w:color w:val="1B2A22"/>
          <w:sz w:val="24"/>
          <w:szCs w:val="24"/>
        </w:rPr>
        <w:t xml:space="preserve">Block 1 — People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Register People becomes tabs — Students · Assessors &amp; Moderators · Invigilators (Administrators behind a fourth) — each with the columns that matter for that type.</w:t>
            </w:r>
          </w:p>
          <w:p>
            <w:pPr>
              <w:keepLines/>
              <w:spacing w:after="60" w:line="280"/>
            </w:pPr>
            <w:r>
              <w:rPr>
                <w:rFonts w:ascii="Arial" w:cs="Arial" w:eastAsia="Arial" w:hAnsi="Arial"/>
                <w:color w:val="1B2A22"/>
                <w:sz w:val="20"/>
                <w:szCs w:val="20"/>
              </w:rPr>
              <w:t xml:space="preserve">Instant search (name, email, student number, ID last four), filters (qualification, cohort, status, sitting), server-side paging and sorting so tens of thousands of rows behave like twenty.</w:t>
            </w:r>
          </w:p>
          <w:p>
            <w:pPr>
              <w:keepLines/>
              <w:spacing w:after="60" w:line="280"/>
            </w:pPr>
            <w:r>
              <w:rPr>
                <w:rFonts w:ascii="Arial" w:cs="Arial" w:eastAsia="Arial" w:hAnsi="Arial"/>
                <w:color w:val="1B2A22"/>
                <w:sz w:val="20"/>
                <w:szCs w:val="20"/>
              </w:rPr>
              <w:t xml:space="preserve">Account status you can see: Invited · Active · Suspended · Archived, with “chase all unused set-up links” in one click.</w:t>
            </w:r>
          </w:p>
          <w:p>
            <w:pPr>
              <w:keepLines/>
              <w:spacing w:after="60" w:line="280"/>
            </w:pPr>
            <w:r>
              <w:rPr>
                <w:rFonts w:ascii="Arial" w:cs="Arial" w:eastAsia="Arial" w:hAnsi="Arial"/>
                <w:color w:val="1B2A22"/>
                <w:sz w:val="20"/>
                <w:szCs w:val="20"/>
              </w:rPr>
              <w:t xml:space="preserve">A person page per user: sittings, results, marking done, set-up status.</w:t>
            </w:r>
          </w:p>
          <w:p>
            <w:pPr>
              <w:keepLines/>
              <w:spacing w:after="60" w:line="280"/>
            </w:pPr>
            <w:r>
              <w:rPr>
                <w:rFonts w:ascii="Arial" w:cs="Arial" w:eastAsia="Arial" w:hAnsi="Arial"/>
                <w:color w:val="1B2A22"/>
                <w:sz w:val="20"/>
                <w:szCs w:val="20"/>
              </w:rPr>
              <w:t xml:space="preserve">Bulk import from CSV/XLSX with a downloadable template and a preview of what will be created, updated or rejected before anything is saved. Student number and ID number captured for students (encrypted).</w:t>
            </w:r>
          </w:p>
        </w:tc>
      </w:tr>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Done when</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20 000 test students load in under a second per page; an import of 500 rows with duplicates and errors previews correctly and imports the clean rows only; every list exports to CSV.</w:t>
            </w:r>
          </w:p>
        </w:tc>
      </w:tr>
    </w:tbl>
    <w:p>
      <w:pPr>
        <w:spacing w:after="60"/>
      </w:pPr>
    </w:p>
    <w:p>
      <w:pPr>
        <w:pStyle w:val="Heading2"/>
        <w:keepNext/>
        <w:keepLines/>
        <w:spacing w:after="80" w:before="260"/>
      </w:pPr>
      <w:r>
        <w:rPr>
          <w:rFonts w:ascii="Arial" w:cs="Arial" w:eastAsia="Arial" w:hAnsi="Arial"/>
          <w:b/>
          <w:bCs/>
          <w:color w:val="1B2A22"/>
          <w:sz w:val="24"/>
          <w:szCs w:val="24"/>
        </w:rPr>
        <w:t xml:space="preserve">Block 2 —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Cohorts as the unit of work (e.g. ND Payroll · Durban · Jan 2026 intake): create, import, move students between them, allocate a whole cohort to a sitting.</w:t>
            </w:r>
          </w:p>
          <w:p>
            <w:pPr>
              <w:keepLines/>
              <w:spacing w:after="60" w:line="280"/>
            </w:pPr>
            <w:r>
              <w:rPr>
                <w:rFonts w:ascii="Arial" w:cs="Arial" w:eastAsia="Arial" w:hAnsi="Arial"/>
                <w:color w:val="1B2A22"/>
                <w:sz w:val="20"/>
                <w:szCs w:val="20"/>
              </w:rPr>
              <w:t xml:space="preserve">Cohort page with its students, sittings and results. Ready for FPTStaff to own cohorts once connected.</w:t>
            </w:r>
          </w:p>
        </w:tc>
      </w:tr>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Done when</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A 300-student cohort is allocated to a sitting in one action and appears on the invigilator’s roster.</w:t>
            </w:r>
          </w:p>
        </w:tc>
      </w:tr>
    </w:tbl>
    <w:p>
      <w:pPr>
        <w:spacing w:after="60"/>
      </w:pPr>
    </w:p>
    <w:p>
      <w:pPr>
        <w:pStyle w:val="Heading2"/>
        <w:keepNext/>
        <w:keepLines/>
        <w:spacing w:after="80" w:before="260"/>
      </w:pPr>
      <w:r>
        <w:rPr>
          <w:rFonts w:ascii="Arial" w:cs="Arial" w:eastAsia="Arial" w:hAnsi="Arial"/>
          <w:b/>
          <w:bCs/>
          <w:color w:val="1B2A22"/>
          <w:sz w:val="24"/>
          <w:szCs w:val="24"/>
        </w:rPr>
        <w:t xml:space="preserve">Block 3 — Scheduling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Sitting series — one paper, many rooms and dates — with capacity per sitting and automatic split of a cohort across sittings. Month calendar view.</w:t>
            </w:r>
          </w:p>
          <w:p>
            <w:pPr>
              <w:keepLines/>
              <w:spacing w:after="60" w:line="280"/>
            </w:pPr>
            <w:r>
              <w:rPr>
                <w:rFonts w:ascii="Arial" w:cs="Arial" w:eastAsia="Arial" w:hAnsi="Arial"/>
                <w:color w:val="1B2A22"/>
                <w:sz w:val="20"/>
                <w:szCs w:val="20"/>
              </w:rPr>
              <w:t xml:space="preserve">Assessor allocation that checks registration scope (only qualifications they are registered to assess), balances marking load against each assessor’s cap, and a marking workload board (waiting, average turnaround, overdue).</w:t>
            </w:r>
          </w:p>
          <w:p>
            <w:pPr>
              <w:keepLines/>
              <w:spacing w:after="60" w:line="280"/>
            </w:pPr>
            <w:r>
              <w:rPr>
                <w:rFonts w:ascii="Arial" w:cs="Arial" w:eastAsia="Arial" w:hAnsi="Arial"/>
                <w:color w:val="1B2A22"/>
                <w:sz w:val="20"/>
                <w:szCs w:val="20"/>
              </w:rPr>
              <w:t xml:space="preserve">Invigilator allocation that enforces the ratio you set (e.g. 1:30) and the independence rule. Clash check for double-booking.</w:t>
            </w:r>
          </w:p>
        </w:tc>
      </w:tr>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Done when</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A series of six sittings for 900 learners is created and staffed in under ten minutes with no manual counting.</w:t>
            </w:r>
          </w:p>
        </w:tc>
      </w:tr>
    </w:tbl>
    <w:p>
      <w:pPr>
        <w:spacing w:after="60"/>
      </w:pPr>
    </w:p>
    <w:p>
      <w:pPr>
        <w:pStyle w:val="Heading2"/>
        <w:keepNext/>
        <w:keepLines/>
        <w:spacing w:after="80" w:before="260"/>
      </w:pPr>
      <w:r>
        <w:rPr>
          <w:rFonts w:ascii="Arial" w:cs="Arial" w:eastAsia="Arial" w:hAnsi="Arial"/>
          <w:b/>
          <w:bCs/>
          <w:color w:val="1B2A22"/>
          <w:sz w:val="24"/>
          <w:szCs w:val="24"/>
        </w:rPr>
        <w:t xml:space="preserve">Block 4 — Moderator role (only if moderation comes to FPT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Moderator as a fifth role with its own queue: sampling of signed-off scripts by rule (e.g. 10% or at least 5, all borderline, all fails), a moderation record per script (confirmed / adjusted / referred), and moderation status on Results.</w:t>
            </w:r>
          </w:p>
          <w:p>
            <w:pPr>
              <w:keepLines/>
              <w:spacing w:after="60" w:line="280"/>
            </w:pPr>
            <w:r>
              <w:rPr>
                <w:rFonts w:ascii="Arial" w:cs="Arial" w:eastAsia="Arial" w:hAnsi="Arial"/>
                <w:color w:val="1B2A22"/>
                <w:sz w:val="20"/>
                <w:szCs w:val="20"/>
              </w:rPr>
              <w:t xml:space="preserve">If moderation stays in FPTStaff this block is skipped and the result push (Block 6) carries what FPTStaff needs.</w:t>
            </w:r>
          </w:p>
        </w:tc>
      </w:tr>
    </w:tbl>
    <w:p>
      <w:pPr>
        <w:spacing w:after="60"/>
      </w:pPr>
    </w:p>
    <w:p>
      <w:pPr>
        <w:pStyle w:val="Heading2"/>
        <w:keepNext/>
        <w:keepLines/>
        <w:spacing w:after="80" w:before="260"/>
      </w:pPr>
      <w:r>
        <w:rPr>
          <w:rFonts w:ascii="Arial" w:cs="Arial" w:eastAsia="Arial" w:hAnsi="Arial"/>
          <w:b/>
          <w:bCs/>
          <w:color w:val="1B2A22"/>
          <w:sz w:val="24"/>
          <w:szCs w:val="24"/>
        </w:rPr>
        <w:t xml:space="preserve">Block 5 — Phase D: proctoring and the exam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Mapping of QCTO/AQP proctoring requirements to features (from public QCTO policy; FPT’s own documents if supplied).</w:t>
            </w:r>
          </w:p>
          <w:p>
            <w:pPr>
              <w:keepLines/>
              <w:spacing w:after="60" w:line="280"/>
            </w:pPr>
            <w:r>
              <w:rPr>
                <w:rFonts w:ascii="Arial" w:cs="Arial" w:eastAsia="Arial" w:hAnsi="Arial"/>
                <w:color w:val="1B2A22"/>
                <w:sz w:val="20"/>
                <w:szCs w:val="20"/>
              </w:rPr>
              <w:t xml:space="preserve">Learner one-time sitting codes instead of passwords for the exam itself. Pre-checks (camera, microphone, screen, identity photo against the registration photo) and consent text stating the retention window.</w:t>
            </w:r>
          </w:p>
          <w:p>
            <w:pPr>
              <w:keepLines/>
              <w:spacing w:after="60" w:line="280"/>
            </w:pPr>
            <w:r>
              <w:rPr>
                <w:rFonts w:ascii="Arial" w:cs="Arial" w:eastAsia="Arial" w:hAnsi="Arial"/>
                <w:color w:val="1B2A22"/>
                <w:sz w:val="20"/>
                <w:szCs w:val="20"/>
              </w:rPr>
              <w:t xml:space="preserve">Capture loop (periodic photo, screen, tab-switch and paste detection, focus loss) and a tamper-evident seal hash on submission.</w:t>
            </w:r>
          </w:p>
          <w:p>
            <w:pPr>
              <w:keepLines/>
              <w:spacing w:after="60" w:line="280"/>
            </w:pPr>
            <w:r>
              <w:rPr>
                <w:rFonts w:ascii="Arial" w:cs="Arial" w:eastAsia="Arial" w:hAnsi="Arial"/>
                <w:color w:val="1B2A22"/>
                <w:sz w:val="20"/>
                <w:szCs w:val="20"/>
              </w:rPr>
              <w:t xml:space="preserve">Invigilator console: live roster, flags, chat, pause / resume / terminate with reason. Integrity engine: flags → incident log → integrity summary on the assessor’s dossier. Evidence storage with the 12-month sweep and hold flag.</w:t>
            </w:r>
          </w:p>
          <w:p>
            <w:pPr>
              <w:keepLines/>
              <w:spacing w:after="60" w:line="280"/>
            </w:pPr>
            <w:r>
              <w:rPr>
                <w:rFonts w:ascii="Arial" w:cs="Arial" w:eastAsia="Arial" w:hAnsi="Arial"/>
                <w:color w:val="1B2A22"/>
                <w:sz w:val="20"/>
                <w:szCs w:val="20"/>
              </w:rPr>
              <w:t xml:space="preserve">Statement of Results — branded PDF for the learner with ID number, student number, sitting details, integrity summary and assessor sign-off — and the result-released email. Assessor email notifications (scripts waiting).</w:t>
            </w:r>
          </w:p>
        </w:tc>
      </w:tr>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Done when</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A full sitting runs end to end: a proctored learner, an invigilator watching, an assessor signing off, and the learner downloading their Statement.</w:t>
            </w:r>
          </w:p>
        </w:tc>
      </w:tr>
    </w:tbl>
    <w:p>
      <w:pPr>
        <w:spacing w:after="60"/>
      </w:pPr>
    </w:p>
    <w:p>
      <w:pPr>
        <w:pStyle w:val="Heading2"/>
        <w:keepNext/>
        <w:keepLines/>
        <w:spacing w:after="80" w:before="260"/>
      </w:pPr>
      <w:r>
        <w:rPr>
          <w:rFonts w:ascii="Arial" w:cs="Arial" w:eastAsia="Arial" w:hAnsi="Arial"/>
          <w:b/>
          <w:bCs/>
          <w:color w:val="1B2A22"/>
          <w:sz w:val="24"/>
          <w:szCs w:val="24"/>
        </w:rPr>
        <w:t xml:space="preserve">Block 6 — Phase E: FPTStaff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People and cohorts pulled from FPTStaff by section; manual adds pushed back with a duplicate guard; results and Statements pushed on sign-off. Moderation, verification and certification stay in FPTStaff. Contract written for the FPTStaff side.</w:t>
            </w:r>
          </w:p>
        </w:tc>
      </w:tr>
    </w:tbl>
    <w:p>
      <w:pPr>
        <w:spacing w:after="60"/>
      </w:pPr>
    </w:p>
    <w:p>
      <w:pPr>
        <w:pStyle w:val="Heading2"/>
        <w:keepNext/>
        <w:keepLines/>
        <w:spacing w:after="80" w:before="260"/>
      </w:pPr>
      <w:r>
        <w:rPr>
          <w:rFonts w:ascii="Arial" w:cs="Arial" w:eastAsia="Arial" w:hAnsi="Arial"/>
          <w:b/>
          <w:bCs/>
          <w:color w:val="1B2A22"/>
          <w:sz w:val="24"/>
          <w:szCs w:val="24"/>
        </w:rPr>
        <w:t xml:space="preserve">Block 7 — Phase F: Curricula Builder connection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9E2DC" w:sz="4"/>
              <w:left w:val="single" w:color="D9E2DC" w:sz="4"/>
              <w:bottom w:val="single" w:color="D9E2DC" w:sz="4"/>
              <w:right w:val="single" w:color="D9E2DC" w:sz="4"/>
            </w:tcBorders>
            <w:shd w:fill="F1F8EC" w:color="auto" w:val="clear"/>
            <w:tcMar>
              <w:top w:type="dxa" w:w="100"/>
              <w:left w:type="dxa" w:w="140"/>
              <w:bottom w:type="dxa" w:w="100"/>
              <w:right w:type="dxa" w:w="140"/>
            </w:tcMar>
          </w:tcPr>
          <w:p>
            <w:pPr>
              <w:keepLines/>
            </w:pPr>
            <w:r>
              <w:rPr>
                <w:rFonts w:ascii="Arial" w:cs="Arial" w:eastAsia="Arial" w:hAnsi="Arial"/>
                <w:b/>
                <w:bCs/>
                <w:color w:val="1B2A22"/>
                <w:sz w:val="20"/>
                <w:szCs w:val="20"/>
              </w:rPr>
              <w:t xml:space="preserve">What you get</w:t>
            </w:r>
          </w:p>
        </w:tc>
        <w:tc>
          <w:tcPr>
            <w:tcW w:type="dxa" w:w="7160"/>
            <w:tcBorders>
              <w:top w:val="single" w:color="D9E2DC" w:sz="4"/>
              <w:left w:val="single" w:color="D9E2DC" w:sz="4"/>
              <w:bottom w:val="single" w:color="D9E2DC" w:sz="4"/>
              <w:right w:val="single" w:color="D9E2DC" w:sz="4"/>
            </w:tcBorders>
            <w:tcMar>
              <w:top w:type="dxa" w:w="100"/>
              <w:left w:type="dxa" w:w="140"/>
              <w:bottom w:type="dxa" w:w="100"/>
              <w:right w:type="dxa" w:w="140"/>
            </w:tcMar>
          </w:tcPr>
          <w:p>
            <w:pPr>
              <w:keepLines/>
              <w:spacing w:after="60" w:line="280"/>
            </w:pPr>
            <w:r>
              <w:rPr>
                <w:rFonts w:ascii="Arial" w:cs="Arial" w:eastAsia="Arial" w:hAnsi="Arial"/>
                <w:color w:val="1B2A22"/>
                <w:sz w:val="20"/>
                <w:szCs w:val="20"/>
              </w:rPr>
              <w:t xml:space="preserve">The two Curricula Builder routes become usable — released QCTO papers and other courses listed and pulled in. The contract is already written (curricula-builder-contract.md); Curricula Builder has to expose it.</w:t>
            </w:r>
          </w:p>
        </w:tc>
      </w:tr>
    </w:tbl>
    <w:p>
      <w:pPr>
        <w:pStyle w:val="Heading1"/>
        <w:keepNext/>
        <w:keepLines/>
        <w:spacing w:after="120" w:before="360"/>
      </w:pPr>
      <w:r>
        <w:rPr>
          <w:rFonts w:ascii="Arial" w:cs="Arial" w:eastAsia="Arial" w:hAnsi="Arial"/>
          <w:b/>
          <w:bCs/>
          <w:color w:val="2E86AB"/>
          <w:sz w:val="30"/>
          <w:szCs w:val="30"/>
        </w:rPr>
        <w:t xml:space="preserve">3. Open decisions (yours)</w:t>
      </w:r>
    </w:p>
    <w:p>
      <w:pPr>
        <w:pStyle w:val="ListParagraph"/>
        <w:keepLines/>
        <w:numPr>
          <w:ilvl w:val="0"/>
          <w:numId w:val="2"/>
        </w:numPr>
        <w:spacing w:after="80" w:line="290"/>
      </w:pPr>
      <w:r>
        <w:rPr>
          <w:rFonts w:ascii="Arial" w:cs="Arial" w:eastAsia="Arial" w:hAnsi="Arial"/>
          <w:b/>
          <w:bCs/>
          <w:color w:val="2E86AB"/>
          <w:sz w:val="21"/>
          <w:szCs w:val="21"/>
        </w:rPr>
        <w:t xml:space="preserve">Student number format </w:t>
      </w:r>
      <w:r>
        <w:rPr>
          <w:rFonts w:ascii="Arial" w:cs="Arial" w:eastAsia="Arial" w:hAnsi="Arial"/>
          <w:color w:val="1B2A22"/>
          <w:sz w:val="21"/>
          <w:szCs w:val="21"/>
        </w:rPr>
        <w:t xml:space="preserve">— e.g. FPT-2026-00123. Needed for Block 1 validation.</w:t>
      </w:r>
    </w:p>
    <w:p>
      <w:pPr>
        <w:pStyle w:val="ListParagraph"/>
        <w:keepLines/>
        <w:numPr>
          <w:ilvl w:val="0"/>
          <w:numId w:val="2"/>
        </w:numPr>
        <w:spacing w:after="80" w:line="290"/>
      </w:pPr>
      <w:r>
        <w:rPr>
          <w:rFonts w:ascii="Arial" w:cs="Arial" w:eastAsia="Arial" w:hAnsi="Arial"/>
          <w:b/>
          <w:bCs/>
          <w:color w:val="2E86AB"/>
          <w:sz w:val="21"/>
          <w:szCs w:val="21"/>
        </w:rPr>
        <w:t xml:space="preserve">Moderators </w:t>
      </w:r>
      <w:r>
        <w:rPr>
          <w:rFonts w:ascii="Arial" w:cs="Arial" w:eastAsia="Arial" w:hAnsi="Arial"/>
          <w:color w:val="1B2A22"/>
          <w:sz w:val="21"/>
          <w:szCs w:val="21"/>
        </w:rPr>
        <w:t xml:space="preserve">— inside FPT Exam (Block 4 built) or in FPTStaff (Block 4 skipped)?</w:t>
      </w:r>
    </w:p>
    <w:p>
      <w:pPr>
        <w:pStyle w:val="ListParagraph"/>
        <w:keepLines/>
        <w:numPr>
          <w:ilvl w:val="0"/>
          <w:numId w:val="2"/>
        </w:numPr>
        <w:spacing w:after="80" w:line="290"/>
      </w:pPr>
      <w:r>
        <w:rPr>
          <w:rFonts w:ascii="Arial" w:cs="Arial" w:eastAsia="Arial" w:hAnsi="Arial"/>
          <w:b/>
          <w:bCs/>
          <w:color w:val="2E86AB"/>
          <w:sz w:val="21"/>
          <w:szCs w:val="21"/>
        </w:rPr>
        <w:t xml:space="preserve">Email </w:t>
      </w:r>
      <w:r>
        <w:rPr>
          <w:rFonts w:ascii="Arial" w:cs="Arial" w:eastAsia="Arial" w:hAnsi="Arial"/>
          <w:color w:val="1B2A22"/>
          <w:sz w:val="21"/>
          <w:szCs w:val="21"/>
        </w:rPr>
        <w:t xml:space="preserve">— set SMTP_HOST, SMTP_PORT, SMTP_USER, SMTP_PASS and MAIL_FROM in the Repl’s Secrets so set-up links and, later, notifications send automatically.</w:t>
      </w:r>
    </w:p>
    <w:p>
      <w:pPr>
        <w:pStyle w:val="ListParagraph"/>
        <w:keepLines/>
        <w:numPr>
          <w:ilvl w:val="0"/>
          <w:numId w:val="2"/>
        </w:numPr>
        <w:spacing w:after="80" w:line="290"/>
      </w:pPr>
      <w:r>
        <w:rPr>
          <w:rFonts w:ascii="Arial" w:cs="Arial" w:eastAsia="Arial" w:hAnsi="Arial"/>
          <w:b/>
          <w:bCs/>
          <w:color w:val="2E86AB"/>
          <w:sz w:val="21"/>
          <w:szCs w:val="21"/>
        </w:rPr>
        <w:t xml:space="preserve">Curricula Builder side </w:t>
      </w:r>
      <w:r>
        <w:rPr>
          <w:rFonts w:ascii="Arial" w:cs="Arial" w:eastAsia="Arial" w:hAnsi="Arial"/>
          <w:color w:val="1B2A22"/>
          <w:sz w:val="21"/>
          <w:szCs w:val="21"/>
        </w:rPr>
        <w:t xml:space="preserve">— who implements the export contract, and when.</w:t>
      </w:r>
    </w:p>
    <w:p>
      <w:pPr>
        <w:pStyle w:val="ListParagraph"/>
        <w:keepLines/>
        <w:numPr>
          <w:ilvl w:val="0"/>
          <w:numId w:val="2"/>
        </w:numPr>
        <w:spacing w:after="80" w:line="290"/>
      </w:pPr>
      <w:r>
        <w:rPr>
          <w:rFonts w:ascii="Arial" w:cs="Arial" w:eastAsia="Arial" w:hAnsi="Arial"/>
          <w:b/>
          <w:bCs/>
          <w:color w:val="2E86AB"/>
          <w:sz w:val="21"/>
          <w:szCs w:val="21"/>
        </w:rPr>
        <w:t xml:space="preserve">QCTO / AQP proctoring documents </w:t>
      </w:r>
      <w:r>
        <w:rPr>
          <w:rFonts w:ascii="Arial" w:cs="Arial" w:eastAsia="Arial" w:hAnsi="Arial"/>
          <w:color w:val="1B2A22"/>
          <w:sz w:val="21"/>
          <w:szCs w:val="21"/>
        </w:rPr>
        <w:t xml:space="preserve">— attach FPT’s copies if Block 5 should be mapped against them rather than the public policy alone.</w:t>
      </w:r>
    </w:p>
    <w:p>
      <w:pPr>
        <w:pStyle w:val="ListParagraph"/>
        <w:keepLines/>
        <w:numPr>
          <w:ilvl w:val="0"/>
          <w:numId w:val="2"/>
        </w:numPr>
        <w:spacing w:after="80" w:line="290"/>
      </w:pPr>
      <w:r>
        <w:rPr>
          <w:rFonts w:ascii="Arial" w:cs="Arial" w:eastAsia="Arial" w:hAnsi="Arial"/>
          <w:b/>
          <w:bCs/>
          <w:color w:val="2E86AB"/>
          <w:sz w:val="21"/>
          <w:szCs w:val="21"/>
        </w:rPr>
        <w:t xml:space="preserve">Invigilator ratio and assessor marking cap </w:t>
      </w:r>
      <w:r>
        <w:rPr>
          <w:rFonts w:ascii="Arial" w:cs="Arial" w:eastAsia="Arial" w:hAnsi="Arial"/>
          <w:color w:val="1B2A22"/>
          <w:sz w:val="21"/>
          <w:szCs w:val="21"/>
        </w:rPr>
        <w:t xml:space="preserve">— defaults 1:30 and 60 scripts in flight unless you say otherwise.</w:t>
      </w:r>
    </w:p>
    <w:p>
      <w:pPr>
        <w:pStyle w:val="Heading1"/>
        <w:keepNext/>
        <w:keepLines/>
        <w:spacing w:after="120" w:before="360"/>
      </w:pPr>
      <w:r>
        <w:rPr>
          <w:rFonts w:ascii="Arial" w:cs="Arial" w:eastAsia="Arial" w:hAnsi="Arial"/>
          <w:b/>
          <w:bCs/>
          <w:color w:val="2E86AB"/>
          <w:sz w:val="30"/>
          <w:szCs w:val="30"/>
        </w:rPr>
        <w:t xml:space="preserve">4. How each block is delivered</w:t>
      </w:r>
    </w:p>
    <w:p>
      <w:pPr>
        <w:keepLines/>
        <w:spacing w:after="120" w:line="300"/>
      </w:pPr>
      <w:r>
        <w:rPr>
          <w:rFonts w:ascii="Arial" w:cs="Arial" w:eastAsia="Arial" w:hAnsi="Arial"/>
          <w:color w:val="1B2A22"/>
          <w:sz w:val="21"/>
          <w:szCs w:val="21"/>
        </w:rPr>
        <w:t xml:space="preserve">One or two commits per block, each verified end to end with real AI before it leaves the workshop — API tests, a browser walk-through, and the marking regression — then merged into your FPTExam folder for Push origin → Pull → Run. Each delivery note says what changed and what to click. The restructure document and this plan are updated as decisions land; both live in the repository under docs/ and in the Claude project.</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D6B60"/>
        <w:sz w:val="16"/>
        <w:szCs w:val="16"/>
      </w:rPr>
      <w:t xml:space="preserve">Confidential — FPT Academy (Pty) Ltd. Build plan, 9 September 2026.</w:t>
    </w:r>
    <w:r>
      <w:rPr>
        <w:rFonts w:ascii="Arial" w:cs="Arial" w:eastAsia="Arial" w:hAnsi="Arial"/>
        <w:color w:val="5D6B60"/>
        <w:sz w:val="16"/>
        <w:szCs w:val="16"/>
      </w:rPr>
      <w:t xml:space="preserve">	Page </w:t>
    </w:r>
    <w:r>
      <w:rPr>
        <w:rFonts w:ascii="Arial" w:cs="Arial" w:eastAsia="Arial" w:hAnsi="Arial"/>
        <w:color w:val="5D6B60"/>
        <w:sz w:val="16"/>
        <w:szCs w:val="16"/>
      </w:rPr>
      <w:fldChar w:fldCharType="begin"/>
      <w:instrText xml:space="preserve">PAGE</w:instrText>
      <w:fldChar w:fldCharType="separate"/>
      <w:fldChar w:fldCharType="end"/>
    </w:r>
    <w:r>
      <w:rPr>
        <w:rFonts w:ascii="Arial" w:cs="Arial" w:eastAsia="Arial" w:hAnsi="Arial"/>
        <w:color w:val="5D6B60"/>
        <w:sz w:val="16"/>
        <w:szCs w:val="16"/>
      </w:rPr>
      <w:t xml:space="preserve"> of </w:t>
    </w:r>
    <w:r>
      <w:rPr>
        <w:rFonts w:ascii="Arial" w:cs="Arial" w:eastAsia="Arial" w:hAnsi="Arial"/>
        <w:color w:val="5D6B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BF3E" w:sz="6" w:space="4"/>
      </w:pBdr>
      <w:tabs>
        <w:tab w:val="right" w:pos="9360"/>
      </w:tabs>
    </w:pPr>
    <w:r>
      <w:rPr>
        <w:rFonts w:ascii="Arial" w:cs="Arial" w:eastAsia="Arial" w:hAnsi="Arial"/>
        <w:b/>
        <w:bCs/>
        <w:color w:val="6BBF3E"/>
        <w:sz w:val="17"/>
        <w:szCs w:val="17"/>
      </w:rPr>
      <w:t xml:space="preserve">FPT Academy · FPT Exam</w:t>
    </w:r>
    <w:r>
      <w:rPr>
        <w:rFonts w:ascii="Arial" w:cs="Arial" w:eastAsia="Arial" w:hAnsi="Arial"/>
        <w:b/>
        <w:bCs/>
        <w:color w:val="5D6B60"/>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 Exam — Build plan from 9 September 2026</dc:title>
  <dc:creator>FPT Academy</dc:creator>
  <cp:lastModifiedBy>Un-named</cp:lastModifiedBy>
  <cp:revision>1</cp:revision>
  <dcterms:created xsi:type="dcterms:W3CDTF">2026-09-09T13:35:18.803Z</dcterms:created>
  <dcterms:modified xsi:type="dcterms:W3CDTF">2026-09-09T13:35:18.819Z</dcterms:modified>
</cp:coreProperties>
</file>

<file path=docProps/custom.xml><?xml version="1.0" encoding="utf-8"?>
<Properties xmlns="http://schemas.openxmlformats.org/officeDocument/2006/custom-properties" xmlns:vt="http://schemas.openxmlformats.org/officeDocument/2006/docPropsVTypes"/>
</file>