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C6B"/>
          <w:sz w:val="28"/>
          <w:szCs w:val="28"/>
        </w:rPr>
        <w:t xml:space="preserve">EDL 599: Critical Phenomenology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Discussion Forum Rubric</w:t>
      </w:r>
    </w:p>
    <w:p>
      <w:pPr>
        <w:spacing w:after="200"/>
        <w:jc w:val="center"/>
      </w:pPr>
      <w:r>
        <w:rPr>
          <w:sz w:val="22"/>
          <w:szCs w:val="22"/>
        </w:rPr>
        <w:t xml:space="preserve">Your Phenomenological Inquiry Begins  |  Total Points: 100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Exemplary</w:t>
            </w:r>
          </w:p>
          <w:p>
            <w:pPr>
              <w:jc w:val="center"/>
            </w:pPr>
            <w:r>
              <w:rPr>
                <w:color w:val="E6C85A"/>
                <w:sz w:val="18"/>
                <w:szCs w:val="18"/>
              </w:rPr>
              <w:t xml:space="preserve">(90-100%)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Proficient</w:t>
            </w:r>
          </w:p>
          <w:p>
            <w:pPr>
              <w:jc w:val="center"/>
            </w:pPr>
            <w:r>
              <w:rPr>
                <w:color w:val="E6C85A"/>
                <w:sz w:val="18"/>
                <w:szCs w:val="18"/>
              </w:rPr>
              <w:t xml:space="preserve">(80-89%)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Developing</w:t>
            </w:r>
          </w:p>
          <w:p>
            <w:pPr>
              <w:jc w:val="center"/>
            </w:pPr>
            <w:r>
              <w:rPr>
                <w:color w:val="E6C85A"/>
                <w:sz w:val="18"/>
                <w:szCs w:val="18"/>
              </w:rPr>
              <w:t xml:space="preserve">(70-79%)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C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Phenomenon Description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Clearly identifies and vividly describes a specific educational phenomenon with rich contextual detail and compelling rationale for significance.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Identifies a relevant phenomenon with adequate description and explains its significance in educational leadership context.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Phenomenon is identified but description lacks specificity or significance is unclear.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/25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Phenomenological Fit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Demonstrates sophisticated understanding of why phenomenology is uniquely suited to this inquiry; references key concepts with precision.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Explains why phenomenology is appropriate for this phenomenon with reference to methodological concepts.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Connection to phenomenology is stated but not fully developed or supported.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/25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Research Questions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Poses insightful, phenomenologically-framed questions that focus on lived experience and could generate rich descriptive data.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Questions are relevant and generally aligned with phenomenological inquiry principles.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Questions are present but may not be well-suited for phenomenological investigation.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/25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Peer Engagement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Responds to two peers with substantive, thought-provoking questions and meaningful connections that advance the scholarly dialogue.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Responds to two peers with relevant questions or connections that engage with their ideas.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Responses to peers are present but superficial or do not meaningfully engage with their posts.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/25</w:t>
            </w:r>
          </w:p>
        </w:tc>
      </w:tr>
      <w:tr>
        <w:tc>
          <w:tcPr>
            <w:tcW w:type="dxa" w:w="1872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A1C6B"/>
                <w:sz w:val="24"/>
                <w:szCs w:val="24"/>
              </w:rPr>
              <w:t xml:space="preserve">TOTAL POINTS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A1C6B"/>
                <w:sz w:val="26"/>
                <w:szCs w:val="26"/>
              </w:rPr>
              <w:t xml:space="preserve">/100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Assessment Notes</w:t>
      </w:r>
    </w:p>
    <w:p>
      <w:pPr>
        <w:spacing w:after="100"/>
      </w:pPr>
      <w:r>
        <w:rPr>
          <w:b/>
          <w:bCs/>
        </w:rPr>
        <w:t xml:space="preserve">Focus on depth of phenomenological thinking </w:t>
      </w:r>
      <w:r>
        <w:t xml:space="preserve">rather than having the &amp;#x201C;right&amp;#x201D; phenomenon. This discussion is about exploring possibilities and developing your phenomenological lens.</w:t>
      </w:r>
    </w:p>
    <w:p>
      <w:pPr>
        <w:spacing w:after="100"/>
      </w:pPr>
      <w:r>
        <w:rPr>
          <w:b/>
          <w:bCs/>
        </w:rPr>
        <w:t xml:space="preserve">Word count: </w:t>
      </w:r>
      <w:r>
        <w:t xml:space="preserve">Initial post should be 300-400 words. Peer responses should be substantive (minimum 100 words each).</w:t>
      </w:r>
    </w:p>
    <w:p>
      <w:r>
        <w:rPr>
          <w:b/>
          <w:bCs/>
        </w:rPr>
        <w:t xml:space="preserve">Due dates: </w:t>
      </w:r>
      <w:r>
        <w:t xml:space="preserve">Initial post due by Wednesday 11:59 PM. Peer responses due by Sunday 11:59 PM.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EDL 599: Critical Phenomenology  |  Spring 2026  |  Dr. M. Boudreaux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Times New Roman" w:cs="Times New Roman" w:eastAsia="Times New Roman" w:hAnsi="Times New Roman"/>
      <w:b/>
      <w:bCs/>
      <w:color w:val="4A1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Times New Roman" w:cs="Times New Roman" w:eastAsia="Times New Roman" w:hAnsi="Times New Roman"/>
      <w:b/>
      <w:bCs/>
      <w:color w:val="6B2D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2026-01-20T20:17:50.396Z</dcterms:created>
  <dcterms:modified xsi:type="dcterms:W3CDTF">2026-01-20T20:17:50.397Z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