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5724" w14:textId="221B5597" w:rsidR="0058785D" w:rsidRPr="006B29F3" w:rsidRDefault="0058785D" w:rsidP="0066599C">
      <w:pPr>
        <w:spacing w:after="0" w:line="240" w:lineRule="auto"/>
        <w:jc w:val="center"/>
        <w:rPr>
          <w:b/>
          <w:color w:val="0070C0"/>
          <w:u w:val="single"/>
        </w:rPr>
      </w:pPr>
      <w:bookmarkStart w:id="0" w:name="_GoBack"/>
      <w:bookmarkEnd w:id="0"/>
      <w:r w:rsidRPr="006B29F3">
        <w:rPr>
          <w:b/>
          <w:color w:val="0070C0"/>
          <w:u w:val="single"/>
        </w:rPr>
        <w:t>Cookin</w:t>
      </w:r>
      <w:r w:rsidR="008D7ABA"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Qs&amp;As </w:t>
      </w:r>
      <w:r w:rsidR="008D7ABA"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F21E58">
        <w:rPr>
          <w:b/>
          <w:color w:val="0070C0"/>
          <w:u w:val="single"/>
        </w:rPr>
        <w:t xml:space="preserve"> </w:t>
      </w:r>
      <w:r w:rsidR="00F21E58" w:rsidRPr="00F21E58">
        <w:rPr>
          <w:b/>
          <w:color w:val="00B050"/>
        </w:rPr>
        <w:t>– SESSION 24</w:t>
      </w:r>
    </w:p>
    <w:p w14:paraId="1B150AFF" w14:textId="77777777" w:rsidR="0058785D" w:rsidRDefault="0058785D" w:rsidP="0066599C">
      <w:pPr>
        <w:spacing w:after="0" w:line="240" w:lineRule="auto"/>
      </w:pPr>
    </w:p>
    <w:p w14:paraId="1153A97D" w14:textId="71AE7EB6" w:rsidR="0058785D" w:rsidRDefault="00312C23" w:rsidP="0066599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4/26</w:t>
      </w:r>
      <w:r w:rsidR="00E1606E">
        <w:rPr>
          <w:b/>
          <w:u w:val="single"/>
        </w:rPr>
        <w:t>/2018</w:t>
      </w:r>
      <w:r w:rsidR="0058785D" w:rsidRPr="00781BCF">
        <w:rPr>
          <w:b/>
          <w:u w:val="single"/>
        </w:rPr>
        <w:t xml:space="preserve"> - Cooking with CQL: or How to Incorporate CQL into HQMF for eCQMs Qs&amp;As</w:t>
      </w:r>
    </w:p>
    <w:p w14:paraId="1E76E8D2" w14:textId="52CE7CAE" w:rsidR="00AE5212" w:rsidRDefault="00AE5212" w:rsidP="0066599C">
      <w:pPr>
        <w:spacing w:after="0" w:line="240" w:lineRule="auto"/>
        <w:rPr>
          <w:b/>
          <w:u w:val="single"/>
        </w:rPr>
      </w:pPr>
    </w:p>
    <w:p w14:paraId="60F7585C" w14:textId="77777777" w:rsidR="00DB4161" w:rsidRPr="00807F47" w:rsidRDefault="00DB4161" w:rsidP="00DB4161">
      <w:pPr>
        <w:spacing w:after="0" w:line="240" w:lineRule="auto"/>
        <w:rPr>
          <w:color w:val="0070C0"/>
        </w:rPr>
      </w:pPr>
      <w:r w:rsidRPr="00807F47">
        <w:rPr>
          <w:b/>
          <w:color w:val="0070C0"/>
          <w:u w:val="single"/>
        </w:rPr>
        <w:t>Measure Representation</w:t>
      </w:r>
    </w:p>
    <w:p w14:paraId="6874C37E" w14:textId="77777777" w:rsidR="00DB4161" w:rsidRDefault="00DB4161" w:rsidP="00E1606E">
      <w:pPr>
        <w:spacing w:after="0" w:line="240" w:lineRule="auto"/>
        <w:rPr>
          <w:b/>
        </w:rPr>
      </w:pPr>
    </w:p>
    <w:p w14:paraId="42B74A2B" w14:textId="35BD4072" w:rsidR="00312C23" w:rsidRDefault="00AF6810" w:rsidP="00E1606E">
      <w:pPr>
        <w:spacing w:after="0" w:line="240" w:lineRule="auto"/>
        <w:rPr>
          <w:b/>
        </w:rPr>
      </w:pPr>
      <w:r w:rsidRPr="00AF6810">
        <w:rPr>
          <w:b/>
        </w:rPr>
        <w:t>Q. In the specifications</w:t>
      </w:r>
      <w:r w:rsidR="00316AF3">
        <w:rPr>
          <w:b/>
        </w:rPr>
        <w:t>,</w:t>
      </w:r>
      <w:r w:rsidRPr="00AF6810">
        <w:rPr>
          <w:b/>
        </w:rPr>
        <w:t xml:space="preserve"> is it necessary to specify that the boundary is closed or open?</w:t>
      </w:r>
    </w:p>
    <w:p w14:paraId="4C16E9FB" w14:textId="2D40DC7B" w:rsidR="00AF6810" w:rsidRDefault="00AF6810" w:rsidP="00E1606E">
      <w:pPr>
        <w:spacing w:after="0" w:line="240" w:lineRule="auto"/>
      </w:pPr>
      <w:r>
        <w:rPr>
          <w:b/>
        </w:rPr>
        <w:t xml:space="preserve">A. </w:t>
      </w:r>
      <w:r>
        <w:t>No, whether a boundary is closed or open is an aspect of the value</w:t>
      </w:r>
      <w:r w:rsidR="00943690">
        <w:t>, not the type</w:t>
      </w:r>
      <w:r>
        <w:t>. The systems providing the information indicate whether they are giving an interval that has closed or open boundaries.</w:t>
      </w:r>
    </w:p>
    <w:p w14:paraId="15F3D2D1" w14:textId="45EB69ED" w:rsidR="00AB4B90" w:rsidRDefault="00AB4B90" w:rsidP="00E1606E">
      <w:pPr>
        <w:spacing w:after="0" w:line="240" w:lineRule="auto"/>
      </w:pPr>
    </w:p>
    <w:p w14:paraId="11350A22" w14:textId="385E316D" w:rsidR="00AB4B90" w:rsidRPr="00982F60" w:rsidRDefault="00982F60" w:rsidP="00E1606E">
      <w:pPr>
        <w:spacing w:after="0" w:line="240" w:lineRule="auto"/>
        <w:rPr>
          <w:b/>
        </w:rPr>
      </w:pPr>
      <w:r w:rsidRPr="00982F60">
        <w:rPr>
          <w:b/>
        </w:rPr>
        <w:t>Q. When the “where” clause is used in the example; does it mean that the ‘let…’ statement can only be assigned one line of code?</w:t>
      </w:r>
    </w:p>
    <w:p w14:paraId="2068CE84" w14:textId="6FC76D60" w:rsidR="00982F60" w:rsidRDefault="00982F60" w:rsidP="00E1606E">
      <w:pPr>
        <w:spacing w:after="0" w:line="240" w:lineRule="auto"/>
      </w:pPr>
    </w:p>
    <w:p w14:paraId="50BBEA65" w14:textId="343A4A26" w:rsidR="00982F60" w:rsidRDefault="00982F60" w:rsidP="00982F60">
      <w:pPr>
        <w:spacing w:after="0" w:line="240" w:lineRule="auto"/>
        <w:ind w:firstLine="360"/>
      </w:pPr>
      <w:r>
        <w:t>let procedure: (</w:t>
      </w:r>
    </w:p>
    <w:p w14:paraId="655D59C1" w14:textId="5BB2306D" w:rsidR="00982F60" w:rsidRDefault="00982F60" w:rsidP="00982F60">
      <w:pPr>
        <w:spacing w:after="0" w:line="240" w:lineRule="auto"/>
        <w:ind w:firstLine="360"/>
      </w:pPr>
      <w:r>
        <w:tab/>
        <w:t>“Total Hip Total Knee Procedure” (</w:t>
      </w:r>
      <w:proofErr w:type="spellStart"/>
      <w:r>
        <w:t>QualifyingEncounters</w:t>
      </w:r>
      <w:proofErr w:type="spellEnd"/>
      <w:r>
        <w:t>) P</w:t>
      </w:r>
    </w:p>
    <w:p w14:paraId="0EF74970" w14:textId="77777777" w:rsidR="00943690" w:rsidRDefault="00982F60" w:rsidP="00982F60">
      <w:pPr>
        <w:spacing w:after="0" w:line="240" w:lineRule="auto"/>
        <w:ind w:firstLine="1080"/>
      </w:pPr>
      <w:r>
        <w:tab/>
        <w:t xml:space="preserve">where </w:t>
      </w:r>
      <w:proofErr w:type="spellStart"/>
      <w:r>
        <w:t>P.ordinality</w:t>
      </w:r>
      <w:proofErr w:type="spellEnd"/>
      <w:r>
        <w:t xml:space="preserve"> in “Principal”</w:t>
      </w:r>
    </w:p>
    <w:p w14:paraId="39746687" w14:textId="383CD539" w:rsidR="00312C23" w:rsidRDefault="00943690" w:rsidP="009A2523">
      <w:pPr>
        <w:spacing w:after="0" w:line="240" w:lineRule="auto"/>
      </w:pPr>
      <w:r>
        <w:t xml:space="preserve">       )</w:t>
      </w:r>
    </w:p>
    <w:p w14:paraId="4C2B20C2" w14:textId="2D948F04" w:rsidR="00982F60" w:rsidRDefault="00982F60" w:rsidP="00982F60">
      <w:pPr>
        <w:spacing w:after="0" w:line="240" w:lineRule="auto"/>
      </w:pPr>
    </w:p>
    <w:p w14:paraId="373F4C71" w14:textId="6ED3E419" w:rsidR="00982F60" w:rsidRPr="00982F60" w:rsidRDefault="00982F60" w:rsidP="00982F60">
      <w:pPr>
        <w:spacing w:after="0" w:line="240" w:lineRule="auto"/>
      </w:pPr>
      <w:r w:rsidRPr="00982F60">
        <w:rPr>
          <w:b/>
        </w:rPr>
        <w:t>A.</w:t>
      </w:r>
      <w:r>
        <w:t xml:space="preserve"> No, the “where” clause in a query will not change the result type of the query.</w:t>
      </w:r>
    </w:p>
    <w:p w14:paraId="7E36D390" w14:textId="7A0A2606" w:rsidR="000D7E9E" w:rsidRPr="00982F60" w:rsidRDefault="000D7E9E" w:rsidP="00E1606E">
      <w:pPr>
        <w:spacing w:after="0" w:line="240" w:lineRule="auto"/>
        <w:rPr>
          <w:b/>
        </w:rPr>
      </w:pPr>
    </w:p>
    <w:p w14:paraId="0B45C8B0" w14:textId="7D893A25" w:rsidR="000D7E9E" w:rsidRDefault="000D7E9E" w:rsidP="000D7E9E">
      <w:pPr>
        <w:spacing w:after="0" w:line="240" w:lineRule="auto"/>
        <w:rPr>
          <w:b/>
        </w:rPr>
      </w:pPr>
      <w:r w:rsidRPr="00982F60">
        <w:rPr>
          <w:b/>
        </w:rPr>
        <w:t xml:space="preserve">Q. </w:t>
      </w:r>
      <w:r>
        <w:rPr>
          <w:b/>
        </w:rPr>
        <w:t xml:space="preserve">Is </w:t>
      </w:r>
      <w:r w:rsidR="00316AF3">
        <w:rPr>
          <w:b/>
        </w:rPr>
        <w:t xml:space="preserve">the statement, </w:t>
      </w:r>
      <w:r w:rsidR="000C0E67">
        <w:rPr>
          <w:b/>
        </w:rPr>
        <w:t xml:space="preserve">“The denominator is always a subset of the initial population, so the criteria entered to define </w:t>
      </w:r>
      <w:r w:rsidR="00316AF3">
        <w:rPr>
          <w:b/>
        </w:rPr>
        <w:t>‘</w:t>
      </w:r>
      <w:r w:rsidR="000C0E67">
        <w:rPr>
          <w:b/>
        </w:rPr>
        <w:t>Initial Population</w:t>
      </w:r>
      <w:r w:rsidR="00316AF3">
        <w:rPr>
          <w:b/>
        </w:rPr>
        <w:t>’</w:t>
      </w:r>
      <w:r w:rsidR="000C0E67">
        <w:rPr>
          <w:b/>
        </w:rPr>
        <w:t xml:space="preserve"> does not have to be duplicated for define </w:t>
      </w:r>
      <w:r w:rsidR="00316AF3">
        <w:rPr>
          <w:b/>
        </w:rPr>
        <w:t>‘</w:t>
      </w:r>
      <w:r w:rsidR="000C0E67">
        <w:rPr>
          <w:b/>
        </w:rPr>
        <w:t>Denominator</w:t>
      </w:r>
      <w:r w:rsidR="00316AF3">
        <w:rPr>
          <w:b/>
        </w:rPr>
        <w:t>’</w:t>
      </w:r>
      <w:r w:rsidR="000C0E67">
        <w:rPr>
          <w:b/>
        </w:rPr>
        <w:t>”</w:t>
      </w:r>
      <w:r>
        <w:rPr>
          <w:b/>
        </w:rPr>
        <w:t xml:space="preserve"> only true for patient-based measures? </w:t>
      </w:r>
    </w:p>
    <w:p w14:paraId="0ABA05AE" w14:textId="21FF5A11" w:rsidR="000C0E67" w:rsidRDefault="000C0E67" w:rsidP="000D7E9E">
      <w:pPr>
        <w:spacing w:after="0" w:line="240" w:lineRule="auto"/>
      </w:pPr>
      <w:r>
        <w:rPr>
          <w:b/>
        </w:rPr>
        <w:t>A</w:t>
      </w:r>
      <w:r w:rsidRPr="000C0E67">
        <w:t xml:space="preserve">. </w:t>
      </w:r>
      <w:r w:rsidR="00943690">
        <w:t>No, i</w:t>
      </w:r>
      <w:r w:rsidRPr="000C0E67">
        <w:t>t is true for both patient-based and non-patient based measures. However, for non-patient based</w:t>
      </w:r>
      <w:r w:rsidR="00943690">
        <w:t xml:space="preserve"> measures</w:t>
      </w:r>
      <w:r w:rsidR="00943690" w:rsidRPr="000C0E67">
        <w:t xml:space="preserve">, </w:t>
      </w:r>
      <w:r w:rsidR="00943690">
        <w:t>because the criteria expression has to return the same type as the rest of the measure population criteria, it is often easiest to just reference the “Initial Population”.</w:t>
      </w:r>
    </w:p>
    <w:p w14:paraId="0D927A76" w14:textId="4770B731" w:rsidR="000C0E67" w:rsidRDefault="000C0E67" w:rsidP="000D7E9E">
      <w:pPr>
        <w:spacing w:after="0" w:line="240" w:lineRule="auto"/>
      </w:pPr>
    </w:p>
    <w:p w14:paraId="2396FE9E" w14:textId="72B2BA6D" w:rsidR="009509EE" w:rsidRDefault="009509EE" w:rsidP="0066599C">
      <w:pPr>
        <w:spacing w:after="0" w:line="240" w:lineRule="auto"/>
      </w:pPr>
    </w:p>
    <w:p w14:paraId="151B85FE" w14:textId="77777777" w:rsidR="009509EE" w:rsidRPr="009509EE" w:rsidRDefault="009509EE" w:rsidP="0066599C">
      <w:pPr>
        <w:spacing w:after="0" w:line="240" w:lineRule="auto"/>
        <w:rPr>
          <w:b/>
          <w:color w:val="0070C0"/>
          <w:u w:val="single"/>
        </w:rPr>
      </w:pPr>
    </w:p>
    <w:sectPr w:rsidR="009509EE" w:rsidRPr="009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F15"/>
    <w:multiLevelType w:val="hybridMultilevel"/>
    <w:tmpl w:val="6A50EB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137F9"/>
    <w:multiLevelType w:val="hybridMultilevel"/>
    <w:tmpl w:val="671C3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79B"/>
    <w:multiLevelType w:val="hybridMultilevel"/>
    <w:tmpl w:val="AF7CB2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B5BA2"/>
    <w:multiLevelType w:val="hybridMultilevel"/>
    <w:tmpl w:val="4BD0ED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F1BB1"/>
    <w:multiLevelType w:val="hybridMultilevel"/>
    <w:tmpl w:val="30D81E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E68E7"/>
    <w:multiLevelType w:val="hybridMultilevel"/>
    <w:tmpl w:val="97A05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F45E6"/>
    <w:multiLevelType w:val="hybridMultilevel"/>
    <w:tmpl w:val="28CEE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592C"/>
    <w:multiLevelType w:val="hybridMultilevel"/>
    <w:tmpl w:val="8E06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B01A3"/>
    <w:multiLevelType w:val="hybridMultilevel"/>
    <w:tmpl w:val="4E12A0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E76038"/>
    <w:multiLevelType w:val="hybridMultilevel"/>
    <w:tmpl w:val="F5266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A54CB"/>
    <w:multiLevelType w:val="hybridMultilevel"/>
    <w:tmpl w:val="1CF0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218B"/>
    <w:multiLevelType w:val="hybridMultilevel"/>
    <w:tmpl w:val="D644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75"/>
    <w:rsid w:val="000018A8"/>
    <w:rsid w:val="00024A87"/>
    <w:rsid w:val="00081C16"/>
    <w:rsid w:val="000C0E67"/>
    <w:rsid w:val="000D71BD"/>
    <w:rsid w:val="000D7E9E"/>
    <w:rsid w:val="000F7D2F"/>
    <w:rsid w:val="00131D51"/>
    <w:rsid w:val="0015089C"/>
    <w:rsid w:val="00190673"/>
    <w:rsid w:val="001F6700"/>
    <w:rsid w:val="00201699"/>
    <w:rsid w:val="00202494"/>
    <w:rsid w:val="00206582"/>
    <w:rsid w:val="00214367"/>
    <w:rsid w:val="00222797"/>
    <w:rsid w:val="00225F2D"/>
    <w:rsid w:val="0024287D"/>
    <w:rsid w:val="00251790"/>
    <w:rsid w:val="00294682"/>
    <w:rsid w:val="00310D7D"/>
    <w:rsid w:val="00312C23"/>
    <w:rsid w:val="00316AF3"/>
    <w:rsid w:val="00332DF3"/>
    <w:rsid w:val="003C7743"/>
    <w:rsid w:val="003F1FA5"/>
    <w:rsid w:val="003F7F96"/>
    <w:rsid w:val="00407E41"/>
    <w:rsid w:val="0046060F"/>
    <w:rsid w:val="004E02E1"/>
    <w:rsid w:val="004E3EAF"/>
    <w:rsid w:val="004F6568"/>
    <w:rsid w:val="00512228"/>
    <w:rsid w:val="00550492"/>
    <w:rsid w:val="0058785D"/>
    <w:rsid w:val="005E1F16"/>
    <w:rsid w:val="0060668A"/>
    <w:rsid w:val="0066599C"/>
    <w:rsid w:val="00685639"/>
    <w:rsid w:val="006A2256"/>
    <w:rsid w:val="006B0659"/>
    <w:rsid w:val="006D5EE9"/>
    <w:rsid w:val="006E611B"/>
    <w:rsid w:val="006F2592"/>
    <w:rsid w:val="00707DFE"/>
    <w:rsid w:val="00710C98"/>
    <w:rsid w:val="007212BC"/>
    <w:rsid w:val="007220B9"/>
    <w:rsid w:val="007C180C"/>
    <w:rsid w:val="007C4CA1"/>
    <w:rsid w:val="007F0F24"/>
    <w:rsid w:val="007F4D54"/>
    <w:rsid w:val="00807F47"/>
    <w:rsid w:val="00877359"/>
    <w:rsid w:val="008C00D5"/>
    <w:rsid w:val="008D7ABA"/>
    <w:rsid w:val="00904289"/>
    <w:rsid w:val="009215AC"/>
    <w:rsid w:val="00943690"/>
    <w:rsid w:val="009509EE"/>
    <w:rsid w:val="009524A8"/>
    <w:rsid w:val="0095559B"/>
    <w:rsid w:val="00974062"/>
    <w:rsid w:val="00982F60"/>
    <w:rsid w:val="00987963"/>
    <w:rsid w:val="009A18B1"/>
    <w:rsid w:val="009A2523"/>
    <w:rsid w:val="009F2C62"/>
    <w:rsid w:val="009F4F20"/>
    <w:rsid w:val="00A02F37"/>
    <w:rsid w:val="00A200BB"/>
    <w:rsid w:val="00A63C16"/>
    <w:rsid w:val="00A64F21"/>
    <w:rsid w:val="00A86A57"/>
    <w:rsid w:val="00AA3020"/>
    <w:rsid w:val="00AB4B90"/>
    <w:rsid w:val="00AE3D5B"/>
    <w:rsid w:val="00AE5212"/>
    <w:rsid w:val="00AF6810"/>
    <w:rsid w:val="00B00203"/>
    <w:rsid w:val="00B25E24"/>
    <w:rsid w:val="00B32F0D"/>
    <w:rsid w:val="00B6718D"/>
    <w:rsid w:val="00BA3F33"/>
    <w:rsid w:val="00BB2D74"/>
    <w:rsid w:val="00BF2E8C"/>
    <w:rsid w:val="00C32D41"/>
    <w:rsid w:val="00C5671B"/>
    <w:rsid w:val="00C83C93"/>
    <w:rsid w:val="00CB5BD4"/>
    <w:rsid w:val="00CB5CD8"/>
    <w:rsid w:val="00D1129E"/>
    <w:rsid w:val="00D14936"/>
    <w:rsid w:val="00D61C92"/>
    <w:rsid w:val="00D723D9"/>
    <w:rsid w:val="00DA1E82"/>
    <w:rsid w:val="00DB4161"/>
    <w:rsid w:val="00E1606E"/>
    <w:rsid w:val="00E2692D"/>
    <w:rsid w:val="00E341BF"/>
    <w:rsid w:val="00E53438"/>
    <w:rsid w:val="00E57737"/>
    <w:rsid w:val="00E74E75"/>
    <w:rsid w:val="00E8575E"/>
    <w:rsid w:val="00ED743A"/>
    <w:rsid w:val="00EF455C"/>
    <w:rsid w:val="00EF514C"/>
    <w:rsid w:val="00F21E58"/>
    <w:rsid w:val="00F2586E"/>
    <w:rsid w:val="00F57188"/>
    <w:rsid w:val="00F61B88"/>
    <w:rsid w:val="00F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DDB1"/>
  <w15:chartTrackingRefBased/>
  <w15:docId w15:val="{1A4745FB-94E7-4096-BD6B-67E9E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8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8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85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D7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0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7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41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3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1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FF1C79-2FD6-4349-9264-7772D7E4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1020</Characters>
  <Application>Microsoft Office Word</Application>
  <DocSecurity>0</DocSecurity>
  <Lines>340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2</cp:revision>
  <dcterms:created xsi:type="dcterms:W3CDTF">2020-04-08T16:09:00Z</dcterms:created>
  <dcterms:modified xsi:type="dcterms:W3CDTF">2020-04-08T16:09:00Z</dcterms:modified>
</cp:coreProperties>
</file>