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E803" w14:textId="45845450" w:rsidR="004D6B2D" w:rsidRPr="006B29F3" w:rsidRDefault="004D6B2D" w:rsidP="004D6B2D">
      <w:pPr>
        <w:spacing w:after="0" w:line="240" w:lineRule="auto"/>
        <w:jc w:val="center"/>
        <w:rPr>
          <w:b/>
          <w:color w:val="0070C0"/>
          <w:u w:val="single"/>
        </w:rPr>
      </w:pPr>
      <w:bookmarkStart w:id="0" w:name="_GoBack"/>
      <w:bookmarkEnd w:id="0"/>
      <w:r w:rsidRPr="006B29F3">
        <w:rPr>
          <w:b/>
          <w:color w:val="0070C0"/>
          <w:u w:val="single"/>
        </w:rPr>
        <w:t>Cookin</w:t>
      </w:r>
      <w:r>
        <w:rPr>
          <w:b/>
          <w:color w:val="0070C0"/>
          <w:u w:val="single"/>
        </w:rPr>
        <w:t>g with CQL</w:t>
      </w:r>
      <w:r w:rsidRPr="006B29F3">
        <w:rPr>
          <w:b/>
          <w:color w:val="0070C0"/>
          <w:u w:val="single"/>
        </w:rPr>
        <w:t xml:space="preserve"> Qs&amp;As </w:t>
      </w:r>
      <w:r>
        <w:rPr>
          <w:b/>
          <w:color w:val="0070C0"/>
          <w:u w:val="single"/>
        </w:rPr>
        <w:t xml:space="preserve">with </w:t>
      </w:r>
      <w:r w:rsidRPr="006B29F3">
        <w:rPr>
          <w:b/>
          <w:color w:val="0070C0"/>
          <w:u w:val="single"/>
        </w:rPr>
        <w:t>Classifications</w:t>
      </w:r>
      <w:r>
        <w:rPr>
          <w:b/>
          <w:color w:val="0070C0"/>
          <w:u w:val="single"/>
        </w:rPr>
        <w:t xml:space="preserve"> for the RC</w:t>
      </w:r>
      <w:r w:rsidR="00B11949">
        <w:rPr>
          <w:b/>
          <w:color w:val="0070C0"/>
          <w:u w:val="single"/>
        </w:rPr>
        <w:t xml:space="preserve"> </w:t>
      </w:r>
      <w:r w:rsidR="00B11949" w:rsidRPr="00B11949">
        <w:rPr>
          <w:b/>
          <w:color w:val="000000" w:themeColor="text1"/>
        </w:rPr>
        <w:t>– SESSION 32</w:t>
      </w:r>
    </w:p>
    <w:p w14:paraId="04299635" w14:textId="77777777" w:rsidR="004D6B2D" w:rsidRDefault="004D6B2D" w:rsidP="004D6B2D">
      <w:pPr>
        <w:spacing w:after="0" w:line="240" w:lineRule="auto"/>
      </w:pPr>
    </w:p>
    <w:p w14:paraId="4A741DEF" w14:textId="77777777" w:rsidR="004D6B2D" w:rsidRDefault="004D6B2D" w:rsidP="004D6B2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2/28/2019</w:t>
      </w:r>
      <w:r w:rsidRPr="00781BCF">
        <w:rPr>
          <w:b/>
          <w:u w:val="single"/>
        </w:rPr>
        <w:t xml:space="preserve"> - Cooking with CQL: or How to Incorporate CQL into HQMF for eCQMs Qs&amp;As</w:t>
      </w:r>
    </w:p>
    <w:p w14:paraId="63AD39E1" w14:textId="77777777" w:rsidR="004D6B2D" w:rsidRDefault="004D6B2D" w:rsidP="004D6B2D">
      <w:pPr>
        <w:spacing w:after="0" w:line="240" w:lineRule="auto"/>
        <w:rPr>
          <w:rStyle w:val="Hyperlink"/>
          <w:b/>
          <w:bCs/>
          <w:lang w:val="en"/>
        </w:rPr>
      </w:pPr>
    </w:p>
    <w:p w14:paraId="079267B3" w14:textId="77777777" w:rsidR="002B7CBB" w:rsidRDefault="00CC0628" w:rsidP="004D6B2D">
      <w:pPr>
        <w:spacing w:after="0" w:line="240" w:lineRule="auto"/>
        <w:rPr>
          <w:rStyle w:val="Hyperlink"/>
          <w:b/>
          <w:bCs/>
          <w:lang w:val="en"/>
        </w:rPr>
      </w:pPr>
      <w:hyperlink r:id="rId5" w:anchor="MeasureRepresentation" w:history="1">
        <w:r w:rsidR="002B7CBB" w:rsidRPr="009509EE">
          <w:rPr>
            <w:rStyle w:val="Hyperlink"/>
            <w:b/>
            <w:bCs/>
            <w:lang w:val="en"/>
          </w:rPr>
          <w:t>Measure Representation</w:t>
        </w:r>
      </w:hyperlink>
    </w:p>
    <w:p w14:paraId="16A0F447" w14:textId="77777777" w:rsidR="002B7CBB" w:rsidRDefault="002B7CBB" w:rsidP="004D6B2D">
      <w:pPr>
        <w:spacing w:after="0" w:line="240" w:lineRule="auto"/>
        <w:rPr>
          <w:rStyle w:val="Hyperlink"/>
          <w:b/>
          <w:bCs/>
          <w:lang w:val="en"/>
        </w:rPr>
      </w:pPr>
    </w:p>
    <w:p w14:paraId="37C80EC0" w14:textId="2EA73D67" w:rsidR="00BA0EFC" w:rsidRPr="002B7CBB" w:rsidRDefault="008A4365" w:rsidP="004D6B2D">
      <w:pPr>
        <w:spacing w:after="0" w:line="240" w:lineRule="auto"/>
        <w:rPr>
          <w:rStyle w:val="Hyperlink"/>
          <w:bCs/>
          <w:i/>
          <w:u w:val="none"/>
          <w:lang w:val="en"/>
        </w:rPr>
      </w:pPr>
      <w:r>
        <w:rPr>
          <w:rStyle w:val="Hyperlink"/>
          <w:bCs/>
          <w:i/>
          <w:u w:val="none"/>
          <w:lang w:val="en"/>
        </w:rPr>
        <w:t>Queries</w:t>
      </w:r>
      <w:r w:rsidR="002B7CBB" w:rsidRPr="002B7CBB">
        <w:rPr>
          <w:rStyle w:val="Hyperlink"/>
          <w:bCs/>
          <w:i/>
          <w:u w:val="none"/>
          <w:lang w:val="en"/>
        </w:rPr>
        <w:t xml:space="preserve"> </w:t>
      </w:r>
      <w:r w:rsidR="002B7CBB" w:rsidRPr="002B7CBB">
        <w:rPr>
          <w:rStyle w:val="Hyperlink"/>
          <w:bCs/>
          <w:i/>
          <w:u w:val="none"/>
        </w:rPr>
        <w:t>in CQL</w:t>
      </w:r>
    </w:p>
    <w:p w14:paraId="10EAB61E" w14:textId="77777777" w:rsidR="00BA0EFC" w:rsidRDefault="00BA0EFC" w:rsidP="004D6B2D">
      <w:pPr>
        <w:spacing w:after="0" w:line="240" w:lineRule="auto"/>
        <w:rPr>
          <w:rStyle w:val="Hyperlink"/>
          <w:b/>
          <w:bCs/>
          <w:lang w:val="en"/>
        </w:rPr>
      </w:pPr>
    </w:p>
    <w:p w14:paraId="175952A0" w14:textId="77777777" w:rsidR="00896528" w:rsidRDefault="001302ED" w:rsidP="004D6B2D">
      <w:pPr>
        <w:spacing w:after="0" w:line="240" w:lineRule="auto"/>
        <w:rPr>
          <w:b/>
        </w:rPr>
      </w:pPr>
      <w:r w:rsidRPr="00BA0EFC">
        <w:rPr>
          <w:b/>
        </w:rPr>
        <w:t xml:space="preserve">Q. </w:t>
      </w:r>
      <w:r w:rsidR="00B270C0">
        <w:rPr>
          <w:b/>
        </w:rPr>
        <w:t>Is</w:t>
      </w:r>
      <w:r w:rsidRPr="00BA0EFC">
        <w:rPr>
          <w:b/>
        </w:rPr>
        <w:t xml:space="preserve"> ‘from’ </w:t>
      </w:r>
      <w:r w:rsidR="00B270C0" w:rsidRPr="00B270C0">
        <w:rPr>
          <w:b/>
        </w:rPr>
        <w:t xml:space="preserve">required when setting up a relationship between </w:t>
      </w:r>
      <w:r w:rsidR="00B270C0">
        <w:rPr>
          <w:b/>
        </w:rPr>
        <w:t>more than two sources and</w:t>
      </w:r>
      <w:r w:rsidRPr="00BA0EFC">
        <w:rPr>
          <w:b/>
        </w:rPr>
        <w:t xml:space="preserve"> ‘with’</w:t>
      </w:r>
      <w:r w:rsidR="00B270C0">
        <w:rPr>
          <w:b/>
        </w:rPr>
        <w:t xml:space="preserve"> when setting up a relationship with only </w:t>
      </w:r>
      <w:r w:rsidRPr="00BA0EFC">
        <w:rPr>
          <w:b/>
        </w:rPr>
        <w:t>two</w:t>
      </w:r>
      <w:r w:rsidR="00B270C0">
        <w:rPr>
          <w:b/>
        </w:rPr>
        <w:t xml:space="preserve"> sources</w:t>
      </w:r>
      <w:r w:rsidRPr="00BA0EFC">
        <w:rPr>
          <w:b/>
        </w:rPr>
        <w:t xml:space="preserve">? </w:t>
      </w:r>
    </w:p>
    <w:p w14:paraId="58C380AA" w14:textId="77777777" w:rsidR="00BA0EFC" w:rsidRPr="00BA0EFC" w:rsidRDefault="00BA0EFC" w:rsidP="004D6B2D">
      <w:pPr>
        <w:spacing w:after="0" w:line="240" w:lineRule="auto"/>
        <w:rPr>
          <w:b/>
        </w:rPr>
      </w:pPr>
    </w:p>
    <w:p w14:paraId="5F2BF0F8" w14:textId="2BFD9C5C" w:rsidR="001302ED" w:rsidRDefault="001302ED" w:rsidP="004D6B2D">
      <w:pPr>
        <w:spacing w:after="0" w:line="240" w:lineRule="auto"/>
      </w:pPr>
      <w:r w:rsidRPr="00BA0EFC">
        <w:rPr>
          <w:b/>
        </w:rPr>
        <w:t>A.</w:t>
      </w:r>
      <w:r>
        <w:t xml:space="preserve"> Yes</w:t>
      </w:r>
      <w:r w:rsidR="00531DE0">
        <w:t>, that’s correct, ‘from’ is used to set up a “multi-source” query where you want to be able to talk about more than two sources at once. If you have a “single-source” query, you can use ‘with’ and ‘without’ to establish relationships between the primary source of the query and one other source at a time.</w:t>
      </w:r>
    </w:p>
    <w:p w14:paraId="33C8338F" w14:textId="77777777" w:rsidR="002B7CBB" w:rsidRDefault="002B7CBB" w:rsidP="004D6B2D">
      <w:pPr>
        <w:spacing w:after="0" w:line="240" w:lineRule="auto"/>
      </w:pPr>
    </w:p>
    <w:p w14:paraId="2CF49748" w14:textId="77777777" w:rsidR="008A4365" w:rsidRPr="002B7CBB" w:rsidRDefault="008A4365" w:rsidP="008A4365">
      <w:pPr>
        <w:spacing w:after="0" w:line="240" w:lineRule="auto"/>
        <w:rPr>
          <w:rStyle w:val="Hyperlink"/>
          <w:bCs/>
          <w:i/>
          <w:u w:val="none"/>
          <w:lang w:val="en"/>
        </w:rPr>
      </w:pPr>
      <w:r w:rsidRPr="002B7CBB">
        <w:rPr>
          <w:rStyle w:val="Hyperlink"/>
          <w:bCs/>
          <w:i/>
          <w:u w:val="none"/>
          <w:lang w:val="en"/>
        </w:rPr>
        <w:t xml:space="preserve">Functions </w:t>
      </w:r>
      <w:r w:rsidRPr="002B7CBB">
        <w:rPr>
          <w:rStyle w:val="Hyperlink"/>
          <w:bCs/>
          <w:i/>
          <w:u w:val="none"/>
        </w:rPr>
        <w:t>in CQL</w:t>
      </w:r>
    </w:p>
    <w:p w14:paraId="2E650095" w14:textId="77777777" w:rsidR="008A4365" w:rsidRDefault="008A4365" w:rsidP="002B7CBB">
      <w:pPr>
        <w:spacing w:after="0" w:line="240" w:lineRule="auto"/>
        <w:rPr>
          <w:b/>
        </w:rPr>
      </w:pPr>
    </w:p>
    <w:p w14:paraId="226ECA25" w14:textId="0313EC83" w:rsidR="002B7CBB" w:rsidRDefault="002B7CBB" w:rsidP="002B7CBB">
      <w:pPr>
        <w:spacing w:after="0" w:line="240" w:lineRule="auto"/>
        <w:rPr>
          <w:b/>
        </w:rPr>
      </w:pPr>
      <w:r w:rsidRPr="00BA0EFC">
        <w:rPr>
          <w:b/>
        </w:rPr>
        <w:t>Q. How is hospital arrival time defined?</w:t>
      </w:r>
    </w:p>
    <w:p w14:paraId="0F4DB513" w14:textId="77777777" w:rsidR="002B7CBB" w:rsidRPr="00BA0EFC" w:rsidRDefault="002B7CBB" w:rsidP="002B7CBB">
      <w:pPr>
        <w:spacing w:after="0" w:line="240" w:lineRule="auto"/>
        <w:rPr>
          <w:b/>
        </w:rPr>
      </w:pPr>
    </w:p>
    <w:p w14:paraId="33286641" w14:textId="60EB5D6D" w:rsidR="002B7CBB" w:rsidRDefault="002B7CBB" w:rsidP="00BA0EFC">
      <w:pPr>
        <w:spacing w:after="0" w:line="240" w:lineRule="auto"/>
      </w:pPr>
      <w:r w:rsidRPr="00BA0EFC">
        <w:rPr>
          <w:b/>
        </w:rPr>
        <w:t>A.</w:t>
      </w:r>
      <w:r>
        <w:t xml:space="preserve"> </w:t>
      </w:r>
      <w:r w:rsidR="0004645A">
        <w:t>The definition is</w:t>
      </w:r>
      <w:r>
        <w:t xml:space="preserve"> included in the MAT Global Common Functions</w:t>
      </w:r>
      <w:r w:rsidR="00531DE0">
        <w:t>, it’s the start of the first location period for the locations in the encounter, or the immediately prior emergency department encounter if one exists.</w:t>
      </w:r>
    </w:p>
    <w:p w14:paraId="2FE7A8FA" w14:textId="77777777" w:rsidR="002B7CBB" w:rsidRDefault="002B7CBB" w:rsidP="00BA0EFC">
      <w:pPr>
        <w:spacing w:after="0" w:line="240" w:lineRule="auto"/>
      </w:pPr>
    </w:p>
    <w:p w14:paraId="654A3EBB" w14:textId="77777777" w:rsidR="002B7CBB" w:rsidRDefault="002B7CBB" w:rsidP="002B7CBB">
      <w:pPr>
        <w:spacing w:after="0" w:line="240" w:lineRule="auto"/>
        <w:rPr>
          <w:rFonts w:ascii="Calibri" w:eastAsia="Calibri" w:hAnsi="Calibri" w:cs="Calibri"/>
          <w:b/>
          <w:color w:val="000000"/>
          <w:szCs w:val="24"/>
        </w:rPr>
      </w:pPr>
      <w:r w:rsidRPr="00BA0EFC">
        <w:rPr>
          <w:b/>
        </w:rPr>
        <w:t xml:space="preserve">Q. </w:t>
      </w:r>
      <w:r w:rsidRPr="00BA0EFC">
        <w:rPr>
          <w:rFonts w:ascii="Calibri" w:eastAsia="Calibri" w:hAnsi="Calibri" w:cs="Calibri"/>
          <w:b/>
          <w:color w:val="000000"/>
          <w:szCs w:val="24"/>
        </w:rPr>
        <w:t>There is significant logic involved with looking at dosages and number of doses per day. Is that part of the global library yet?</w:t>
      </w:r>
    </w:p>
    <w:p w14:paraId="6C5589D0" w14:textId="77777777" w:rsidR="002B7CBB" w:rsidRPr="00BA0EFC" w:rsidRDefault="002B7CBB" w:rsidP="002B7CBB">
      <w:pPr>
        <w:spacing w:after="0" w:line="240" w:lineRule="auto"/>
        <w:rPr>
          <w:rFonts w:ascii="Calibri" w:eastAsia="Calibri" w:hAnsi="Calibri" w:cs="Calibri"/>
          <w:b/>
          <w:color w:val="000000"/>
          <w:szCs w:val="24"/>
        </w:rPr>
      </w:pPr>
    </w:p>
    <w:p w14:paraId="24E3DD87" w14:textId="53F36D11" w:rsidR="00BA0EFC" w:rsidRDefault="002B7CBB" w:rsidP="00BA0EFC">
      <w:pPr>
        <w:spacing w:after="0" w:line="240" w:lineRule="auto"/>
        <w:rPr>
          <w:b/>
        </w:rPr>
      </w:pPr>
      <w:r w:rsidRPr="00BA0EFC">
        <w:rPr>
          <w:rFonts w:ascii="Calibri" w:eastAsia="Calibri" w:hAnsi="Calibri" w:cs="Calibri"/>
          <w:b/>
          <w:color w:val="000000"/>
          <w:szCs w:val="24"/>
        </w:rPr>
        <w:t>A.</w:t>
      </w:r>
      <w:r>
        <w:rPr>
          <w:rFonts w:ascii="Calibri" w:eastAsia="Calibri" w:hAnsi="Calibri" w:cs="Calibri"/>
          <w:color w:val="000000"/>
          <w:szCs w:val="24"/>
        </w:rPr>
        <w:t xml:space="preserve"> Not yet. The global library is based on what measure developers identify as being used in enough </w:t>
      </w:r>
      <w:r w:rsidR="000A222D">
        <w:rPr>
          <w:rFonts w:ascii="Calibri" w:eastAsia="Calibri" w:hAnsi="Calibri" w:cs="Calibri"/>
          <w:color w:val="000000"/>
          <w:szCs w:val="24"/>
        </w:rPr>
        <w:t xml:space="preserve">measures </w:t>
      </w:r>
      <w:r>
        <w:rPr>
          <w:rFonts w:ascii="Calibri" w:eastAsia="Calibri" w:hAnsi="Calibri" w:cs="Calibri"/>
          <w:color w:val="000000"/>
          <w:szCs w:val="24"/>
        </w:rPr>
        <w:t>to warrant including in the library.</w:t>
      </w:r>
    </w:p>
    <w:p w14:paraId="418F0645" w14:textId="77777777" w:rsidR="00BA0EFC" w:rsidRDefault="00BA0EFC" w:rsidP="00BA0EFC">
      <w:pPr>
        <w:spacing w:after="0" w:line="240" w:lineRule="auto"/>
      </w:pPr>
    </w:p>
    <w:p w14:paraId="26F04BA7" w14:textId="77777777" w:rsidR="002B7CBB" w:rsidRPr="002B7CBB" w:rsidRDefault="002B7CBB" w:rsidP="00BA0EFC">
      <w:pPr>
        <w:spacing w:after="0" w:line="240" w:lineRule="auto"/>
        <w:rPr>
          <w:rStyle w:val="Hyperlink"/>
          <w:bCs/>
          <w:i/>
          <w:u w:val="none"/>
          <w:lang w:val="en"/>
        </w:rPr>
      </w:pPr>
      <w:r w:rsidRPr="002B7CBB">
        <w:rPr>
          <w:rStyle w:val="Hyperlink"/>
          <w:bCs/>
          <w:i/>
          <w:u w:val="none"/>
          <w:lang w:val="en"/>
        </w:rPr>
        <w:t>eCQM Specifications and CQL</w:t>
      </w:r>
    </w:p>
    <w:p w14:paraId="6B92FD30" w14:textId="77777777" w:rsidR="002B7CBB" w:rsidRDefault="002B7CBB" w:rsidP="00BA0EFC">
      <w:pPr>
        <w:spacing w:after="0" w:line="240" w:lineRule="auto"/>
        <w:rPr>
          <w:b/>
        </w:rPr>
      </w:pPr>
    </w:p>
    <w:p w14:paraId="01080B22" w14:textId="77777777" w:rsidR="00BA0EFC" w:rsidRDefault="00BA0EFC" w:rsidP="00BA0EFC">
      <w:pPr>
        <w:spacing w:after="0" w:line="240" w:lineRule="auto"/>
        <w:rPr>
          <w:b/>
        </w:rPr>
      </w:pPr>
      <w:r w:rsidRPr="00BA0EFC">
        <w:rPr>
          <w:b/>
        </w:rPr>
        <w:t xml:space="preserve">Q. For the follow-up HIV visit logic, explain why the not equivalent comparison is not needed and when </w:t>
      </w:r>
      <w:r w:rsidR="00B260E3">
        <w:rPr>
          <w:b/>
        </w:rPr>
        <w:t>it could</w:t>
      </w:r>
      <w:r w:rsidRPr="00BA0EFC">
        <w:rPr>
          <w:b/>
        </w:rPr>
        <w:t xml:space="preserve"> be needed.</w:t>
      </w:r>
    </w:p>
    <w:p w14:paraId="2C9FD206" w14:textId="77777777" w:rsidR="00BA0EFC" w:rsidRPr="00BA0EFC" w:rsidRDefault="00BA0EFC" w:rsidP="00BA0EFC">
      <w:pPr>
        <w:spacing w:after="0" w:line="240" w:lineRule="auto"/>
        <w:rPr>
          <w:b/>
        </w:rPr>
      </w:pPr>
    </w:p>
    <w:p w14:paraId="0A48EC47" w14:textId="22ECEFED" w:rsidR="00BA0EFC" w:rsidRDefault="00BA0EFC" w:rsidP="00BA0EFC">
      <w:pPr>
        <w:spacing w:after="0" w:line="240" w:lineRule="auto"/>
      </w:pPr>
      <w:r w:rsidRPr="00BA0EFC">
        <w:rPr>
          <w:b/>
        </w:rPr>
        <w:t>A.</w:t>
      </w:r>
      <w:r>
        <w:t xml:space="preserve"> It is needed when using the ‘on’ </w:t>
      </w:r>
      <w:r w:rsidR="000A222D">
        <w:t>and</w:t>
      </w:r>
      <w:r>
        <w:t xml:space="preserve"> after’</w:t>
      </w:r>
      <w:r w:rsidR="00B260E3">
        <w:t>. When using only</w:t>
      </w:r>
      <w:r>
        <w:t xml:space="preserve"> ‘after’ it would not be needed.</w:t>
      </w:r>
    </w:p>
    <w:p w14:paraId="2A9D1255" w14:textId="3BEE3E47" w:rsidR="00BA0EFC" w:rsidRDefault="00BA0EFC" w:rsidP="00BA0EFC">
      <w:pPr>
        <w:spacing w:after="0" w:line="240" w:lineRule="auto"/>
        <w:rPr>
          <w:rFonts w:ascii="Calibri" w:eastAsia="Calibri" w:hAnsi="Calibri" w:cs="Calibri"/>
          <w:color w:val="000000"/>
          <w:szCs w:val="24"/>
        </w:rPr>
      </w:pPr>
    </w:p>
    <w:p w14:paraId="2183815F" w14:textId="77777777" w:rsidR="008A4365" w:rsidRDefault="008A4365" w:rsidP="008A4365">
      <w:pPr>
        <w:spacing w:after="0" w:line="240" w:lineRule="auto"/>
        <w:rPr>
          <w:b/>
        </w:rPr>
      </w:pPr>
      <w:r w:rsidRPr="00BA0EFC">
        <w:rPr>
          <w:b/>
        </w:rPr>
        <w:t xml:space="preserve">Q. </w:t>
      </w:r>
      <w:r>
        <w:rPr>
          <w:b/>
        </w:rPr>
        <w:t>Can the age-based risk factors</w:t>
      </w:r>
      <w:r w:rsidRPr="00BA0EFC">
        <w:rPr>
          <w:b/>
        </w:rPr>
        <w:t xml:space="preserve"> example be plug</w:t>
      </w:r>
      <w:r>
        <w:rPr>
          <w:b/>
        </w:rPr>
        <w:t>ged into the Measure Authoring T</w:t>
      </w:r>
      <w:r w:rsidRPr="00BA0EFC">
        <w:rPr>
          <w:b/>
        </w:rPr>
        <w:t xml:space="preserve">ool or tested with Bonnie? The way CQL is structured, the ‘defines’ are listed programmatically. </w:t>
      </w:r>
    </w:p>
    <w:p w14:paraId="4D06EC28" w14:textId="77777777" w:rsidR="008A4365" w:rsidRPr="00BA0EFC" w:rsidRDefault="008A4365" w:rsidP="008A4365">
      <w:pPr>
        <w:spacing w:after="0" w:line="240" w:lineRule="auto"/>
        <w:rPr>
          <w:b/>
        </w:rPr>
      </w:pPr>
    </w:p>
    <w:p w14:paraId="1D9EA1C9" w14:textId="77777777" w:rsidR="008A4365" w:rsidRDefault="008A4365" w:rsidP="008A4365">
      <w:pPr>
        <w:spacing w:after="0" w:line="240" w:lineRule="auto"/>
      </w:pPr>
      <w:r w:rsidRPr="00BA0EFC">
        <w:rPr>
          <w:b/>
        </w:rPr>
        <w:t>A.</w:t>
      </w:r>
      <w:r>
        <w:t xml:space="preserve"> Yes, the way that ‘defines’ are listed in CQL allows them to be forward referenced anywhere in the library.</w:t>
      </w:r>
    </w:p>
    <w:p w14:paraId="3DD7F94B" w14:textId="6FEC9AC4" w:rsidR="008A4365" w:rsidRDefault="008A4365" w:rsidP="00BA0EFC">
      <w:pPr>
        <w:spacing w:after="0" w:line="240" w:lineRule="auto"/>
        <w:rPr>
          <w:rFonts w:ascii="Calibri" w:eastAsia="Calibri" w:hAnsi="Calibri" w:cs="Calibri"/>
          <w:color w:val="000000"/>
          <w:szCs w:val="24"/>
        </w:rPr>
      </w:pPr>
    </w:p>
    <w:p w14:paraId="358DF17F" w14:textId="77777777" w:rsidR="008A4365" w:rsidRDefault="008A4365" w:rsidP="008A4365">
      <w:pPr>
        <w:spacing w:after="0" w:line="240" w:lineRule="auto"/>
        <w:rPr>
          <w:b/>
        </w:rPr>
      </w:pPr>
      <w:r w:rsidRPr="00BA0EFC">
        <w:rPr>
          <w:b/>
        </w:rPr>
        <w:t>Q. Is flattening part of CQL?</w:t>
      </w:r>
    </w:p>
    <w:p w14:paraId="217677E5" w14:textId="77777777" w:rsidR="008A4365" w:rsidRPr="00BA0EFC" w:rsidRDefault="008A4365" w:rsidP="008A4365">
      <w:pPr>
        <w:spacing w:after="0" w:line="240" w:lineRule="auto"/>
        <w:rPr>
          <w:b/>
        </w:rPr>
      </w:pPr>
    </w:p>
    <w:p w14:paraId="58E24F1A" w14:textId="77777777" w:rsidR="008A4365" w:rsidRDefault="008A4365" w:rsidP="008A4365">
      <w:pPr>
        <w:spacing w:after="0" w:line="240" w:lineRule="auto"/>
      </w:pPr>
      <w:r w:rsidRPr="00BA0EFC">
        <w:rPr>
          <w:b/>
        </w:rPr>
        <w:t>A.</w:t>
      </w:r>
      <w:r>
        <w:t xml:space="preserve"> Yes. The ‘flatten’ operator takes a ‘list of lists’ and returns a single list with all the elements of the lists in the input.</w:t>
      </w:r>
    </w:p>
    <w:p w14:paraId="30CCE6D0" w14:textId="77777777" w:rsidR="008A4365" w:rsidRDefault="008A4365" w:rsidP="00BA0EFC">
      <w:pPr>
        <w:spacing w:after="0" w:line="240" w:lineRule="auto"/>
        <w:rPr>
          <w:rStyle w:val="Hyperlink"/>
          <w:bCs/>
          <w:i/>
          <w:u w:val="none"/>
          <w:lang w:val="en"/>
        </w:rPr>
      </w:pPr>
    </w:p>
    <w:p w14:paraId="66D5215A" w14:textId="3CAC15CB" w:rsidR="002B7CBB" w:rsidRPr="002B7CBB" w:rsidRDefault="002B7CBB" w:rsidP="00BA0EFC">
      <w:pPr>
        <w:spacing w:after="0" w:line="240" w:lineRule="auto"/>
        <w:rPr>
          <w:rStyle w:val="Hyperlink"/>
          <w:bCs/>
          <w:i/>
          <w:u w:val="none"/>
          <w:lang w:val="en"/>
        </w:rPr>
      </w:pPr>
      <w:r w:rsidRPr="002B7CBB">
        <w:rPr>
          <w:rStyle w:val="Hyperlink"/>
          <w:bCs/>
          <w:i/>
          <w:u w:val="none"/>
          <w:lang w:val="en"/>
        </w:rPr>
        <w:lastRenderedPageBreak/>
        <w:t>Using QDM</w:t>
      </w:r>
    </w:p>
    <w:p w14:paraId="196D736B" w14:textId="77777777" w:rsidR="002B7CBB" w:rsidRDefault="002B7CBB" w:rsidP="00BA0EFC">
      <w:pPr>
        <w:spacing w:after="0" w:line="240" w:lineRule="auto"/>
        <w:rPr>
          <w:rFonts w:ascii="Calibri" w:eastAsia="Calibri" w:hAnsi="Calibri" w:cs="Calibri"/>
          <w:b/>
          <w:color w:val="000000"/>
          <w:szCs w:val="24"/>
        </w:rPr>
      </w:pPr>
    </w:p>
    <w:p w14:paraId="16F19974" w14:textId="332CA6E8" w:rsidR="00BA0EFC" w:rsidRDefault="00BA0EFC" w:rsidP="00BA0EFC">
      <w:pPr>
        <w:spacing w:after="0" w:line="240" w:lineRule="auto"/>
        <w:rPr>
          <w:rFonts w:ascii="Calibri" w:eastAsia="Calibri" w:hAnsi="Calibri" w:cs="Calibri"/>
          <w:b/>
          <w:color w:val="000000"/>
          <w:szCs w:val="24"/>
        </w:rPr>
      </w:pPr>
      <w:r w:rsidRPr="00BA0EFC">
        <w:rPr>
          <w:rFonts w:ascii="Calibri" w:eastAsia="Calibri" w:hAnsi="Calibri" w:cs="Calibri"/>
          <w:b/>
          <w:color w:val="000000"/>
          <w:szCs w:val="24"/>
        </w:rPr>
        <w:t>Q. Is</w:t>
      </w:r>
      <w:r w:rsidR="000A222D">
        <w:rPr>
          <w:rFonts w:ascii="Calibri" w:eastAsia="Calibri" w:hAnsi="Calibri" w:cs="Calibri"/>
          <w:b/>
          <w:color w:val="000000"/>
          <w:szCs w:val="24"/>
        </w:rPr>
        <w:t xml:space="preserve"> the type of</w:t>
      </w:r>
      <w:r w:rsidRPr="00BA0EFC">
        <w:rPr>
          <w:rFonts w:ascii="Calibri" w:eastAsia="Calibri" w:hAnsi="Calibri" w:cs="Calibri"/>
          <w:b/>
          <w:color w:val="000000"/>
          <w:szCs w:val="24"/>
        </w:rPr>
        <w:t xml:space="preserve"> coverage</w:t>
      </w:r>
      <w:r w:rsidR="000A222D">
        <w:rPr>
          <w:rFonts w:ascii="Calibri" w:eastAsia="Calibri" w:hAnsi="Calibri" w:cs="Calibri"/>
          <w:b/>
          <w:color w:val="000000"/>
          <w:szCs w:val="24"/>
        </w:rPr>
        <w:t>, e.g.,</w:t>
      </w:r>
      <w:r w:rsidRPr="00BA0EFC">
        <w:rPr>
          <w:rFonts w:ascii="Calibri" w:eastAsia="Calibri" w:hAnsi="Calibri" w:cs="Calibri"/>
          <w:b/>
          <w:color w:val="000000"/>
          <w:szCs w:val="24"/>
        </w:rPr>
        <w:t xml:space="preserve"> commercial, Medicare, Medicaid considered in the QDM participation logic?</w:t>
      </w:r>
    </w:p>
    <w:p w14:paraId="4D98B8DA" w14:textId="77777777" w:rsidR="00BA0EFC" w:rsidRPr="00BA0EFC" w:rsidRDefault="00BA0EFC" w:rsidP="00BA0EFC">
      <w:pPr>
        <w:spacing w:after="0" w:line="240" w:lineRule="auto"/>
        <w:rPr>
          <w:rFonts w:ascii="Calibri" w:eastAsia="Calibri" w:hAnsi="Calibri" w:cs="Calibri"/>
          <w:b/>
          <w:color w:val="000000"/>
          <w:szCs w:val="24"/>
        </w:rPr>
      </w:pPr>
    </w:p>
    <w:p w14:paraId="3D30FBBB" w14:textId="710BC8F2" w:rsidR="00BA0EFC" w:rsidRDefault="00BA0EFC" w:rsidP="00BA0EFC">
      <w:pPr>
        <w:spacing w:after="0" w:line="240" w:lineRule="auto"/>
      </w:pPr>
      <w:r w:rsidRPr="00BA0EFC">
        <w:rPr>
          <w:rFonts w:ascii="Calibri" w:eastAsia="Calibri" w:hAnsi="Calibri" w:cs="Calibri"/>
          <w:b/>
          <w:color w:val="000000"/>
          <w:szCs w:val="24"/>
        </w:rPr>
        <w:t>A.</w:t>
      </w:r>
      <w:r>
        <w:rPr>
          <w:rFonts w:ascii="Calibri" w:eastAsia="Calibri" w:hAnsi="Calibri" w:cs="Calibri"/>
          <w:color w:val="000000"/>
          <w:szCs w:val="24"/>
        </w:rPr>
        <w:t xml:space="preserve"> The participation logic determines coverage in a QDM measure using t</w:t>
      </w:r>
      <w:r w:rsidR="00B260E3">
        <w:rPr>
          <w:rFonts w:ascii="Calibri" w:eastAsia="Calibri" w:hAnsi="Calibri" w:cs="Calibri"/>
          <w:color w:val="000000"/>
          <w:szCs w:val="24"/>
        </w:rPr>
        <w:t xml:space="preserve">he QDM participation type. The </w:t>
      </w:r>
      <w:r>
        <w:rPr>
          <w:rFonts w:ascii="Calibri" w:eastAsia="Calibri" w:hAnsi="Calibri" w:cs="Calibri"/>
          <w:color w:val="000000"/>
          <w:szCs w:val="24"/>
        </w:rPr>
        <w:t xml:space="preserve">logic starts with whether the patient is enrolled and it is particular to each product line, commercial, Medicare or Medicaid. However, </w:t>
      </w:r>
      <w:r w:rsidRPr="004C7778">
        <w:rPr>
          <w:rFonts w:ascii="Calibri" w:eastAsia="Calibri" w:hAnsi="Calibri" w:cs="Calibri"/>
          <w:color w:val="000000"/>
          <w:szCs w:val="24"/>
        </w:rPr>
        <w:t>in calculating the participation per</w:t>
      </w:r>
      <w:r>
        <w:rPr>
          <w:rFonts w:ascii="Calibri" w:eastAsia="Calibri" w:hAnsi="Calibri" w:cs="Calibri"/>
          <w:color w:val="000000"/>
          <w:szCs w:val="24"/>
        </w:rPr>
        <w:t xml:space="preserve">iod and the enrollment periods, </w:t>
      </w:r>
      <w:r w:rsidRPr="004C7778">
        <w:rPr>
          <w:rFonts w:ascii="Calibri" w:eastAsia="Calibri" w:hAnsi="Calibri" w:cs="Calibri"/>
          <w:color w:val="000000"/>
          <w:szCs w:val="24"/>
        </w:rPr>
        <w:t>coverage type</w:t>
      </w:r>
      <w:r>
        <w:rPr>
          <w:rFonts w:ascii="Calibri" w:eastAsia="Calibri" w:hAnsi="Calibri" w:cs="Calibri"/>
          <w:color w:val="000000"/>
          <w:szCs w:val="24"/>
        </w:rPr>
        <w:t xml:space="preserve"> is usually ignored.</w:t>
      </w:r>
    </w:p>
    <w:p w14:paraId="6C28D676" w14:textId="77777777" w:rsidR="002C5F06" w:rsidRDefault="002C5F06" w:rsidP="00BA0EFC">
      <w:pPr>
        <w:spacing w:after="0" w:line="240" w:lineRule="auto"/>
      </w:pPr>
    </w:p>
    <w:p w14:paraId="1B361645" w14:textId="77777777" w:rsidR="00B270C0" w:rsidRDefault="00B270C0" w:rsidP="004D6B2D">
      <w:pPr>
        <w:spacing w:after="0" w:line="240" w:lineRule="auto"/>
        <w:rPr>
          <w:b/>
          <w:color w:val="0070C0"/>
          <w:u w:val="single"/>
        </w:rPr>
      </w:pPr>
    </w:p>
    <w:p w14:paraId="050106AC" w14:textId="77777777" w:rsidR="00B270C0" w:rsidRDefault="00B270C0" w:rsidP="004D6B2D">
      <w:pPr>
        <w:spacing w:after="0" w:line="240" w:lineRule="auto"/>
        <w:rPr>
          <w:b/>
          <w:color w:val="0070C0"/>
          <w:u w:val="single"/>
        </w:rPr>
      </w:pPr>
    </w:p>
    <w:p w14:paraId="1369B167" w14:textId="77777777" w:rsidR="004D6B2D" w:rsidRDefault="004D6B2D" w:rsidP="004D6B2D">
      <w:pPr>
        <w:spacing w:after="0" w:line="240" w:lineRule="auto"/>
        <w:rPr>
          <w:b/>
          <w:color w:val="0070C0"/>
          <w:u w:val="single"/>
        </w:rPr>
      </w:pPr>
      <w:r w:rsidRPr="009509EE">
        <w:rPr>
          <w:b/>
          <w:color w:val="0070C0"/>
          <w:u w:val="single"/>
        </w:rPr>
        <w:t>A</w:t>
      </w:r>
      <w:r>
        <w:rPr>
          <w:b/>
          <w:color w:val="0070C0"/>
          <w:u w:val="single"/>
        </w:rPr>
        <w:t xml:space="preserve">ll CQL Q&amp;As Resource Center </w:t>
      </w:r>
      <w:r w:rsidRPr="009509EE">
        <w:rPr>
          <w:b/>
          <w:color w:val="0070C0"/>
          <w:u w:val="single"/>
        </w:rPr>
        <w:t xml:space="preserve">Classifications </w:t>
      </w:r>
    </w:p>
    <w:p w14:paraId="58C789BE" w14:textId="77777777" w:rsidR="004D6B2D" w:rsidRPr="009509EE" w:rsidRDefault="00CC0628" w:rsidP="004D6B2D">
      <w:pPr>
        <w:numPr>
          <w:ilvl w:val="0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hyperlink r:id="rId6" w:anchor="GettingStarted" w:history="1">
        <w:r w:rsidR="004D6B2D" w:rsidRPr="009509EE">
          <w:rPr>
            <w:rStyle w:val="Hyperlink"/>
            <w:b/>
            <w:bCs/>
            <w:lang w:val="en"/>
          </w:rPr>
          <w:t>Getting Started</w:t>
        </w:r>
      </w:hyperlink>
    </w:p>
    <w:p w14:paraId="79FC293E" w14:textId="77777777" w:rsidR="004D6B2D" w:rsidRDefault="004D6B2D" w:rsidP="007D12C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r w:rsidRPr="004D6B2D">
        <w:rPr>
          <w:b/>
          <w:color w:val="0070C0"/>
          <w:u w:val="single"/>
          <w:lang w:val="en"/>
        </w:rPr>
        <w:t>General Clinical Quality Language</w:t>
      </w:r>
    </w:p>
    <w:p w14:paraId="59C72CF4" w14:textId="77777777" w:rsidR="004D6B2D" w:rsidRPr="004D6B2D" w:rsidRDefault="004D6B2D" w:rsidP="00B270C0">
      <w:pPr>
        <w:pStyle w:val="ListParagraph"/>
        <w:numPr>
          <w:ilvl w:val="1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r w:rsidRPr="004D6B2D">
        <w:rPr>
          <w:b/>
          <w:color w:val="0070C0"/>
          <w:u w:val="single"/>
          <w:lang w:val="en"/>
        </w:rPr>
        <w:t>Why CQL?</w:t>
      </w:r>
    </w:p>
    <w:p w14:paraId="4914692D" w14:textId="77777777" w:rsidR="004D6B2D" w:rsidRDefault="004D6B2D" w:rsidP="00B270C0">
      <w:pPr>
        <w:numPr>
          <w:ilvl w:val="1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r>
        <w:rPr>
          <w:b/>
          <w:color w:val="0070C0"/>
          <w:u w:val="single"/>
          <w:lang w:val="en"/>
        </w:rPr>
        <w:t>What is CQL?</w:t>
      </w:r>
    </w:p>
    <w:p w14:paraId="2F13C9B3" w14:textId="77777777" w:rsidR="004D6B2D" w:rsidRPr="009509EE" w:rsidRDefault="004D6B2D" w:rsidP="00B270C0">
      <w:pPr>
        <w:numPr>
          <w:ilvl w:val="1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r>
        <w:rPr>
          <w:b/>
          <w:color w:val="0070C0"/>
          <w:u w:val="single"/>
          <w:lang w:val="en"/>
        </w:rPr>
        <w:t>Implementation of CQL?</w:t>
      </w:r>
    </w:p>
    <w:p w14:paraId="252DB684" w14:textId="77777777" w:rsidR="004D6B2D" w:rsidRPr="00B270C0" w:rsidRDefault="00CC0628" w:rsidP="004D6B2D">
      <w:pPr>
        <w:numPr>
          <w:ilvl w:val="0"/>
          <w:numId w:val="1"/>
        </w:numPr>
        <w:spacing w:after="0" w:line="240" w:lineRule="auto"/>
        <w:rPr>
          <w:rStyle w:val="Hyperlink"/>
          <w:b/>
          <w:color w:val="0070C0"/>
          <w:lang w:val="en"/>
        </w:rPr>
      </w:pPr>
      <w:hyperlink r:id="rId7" w:anchor="QualityDataModel" w:history="1">
        <w:r w:rsidR="004D6B2D" w:rsidRPr="009509EE">
          <w:rPr>
            <w:rStyle w:val="Hyperlink"/>
            <w:b/>
            <w:bCs/>
            <w:lang w:val="en"/>
          </w:rPr>
          <w:t>Quality Data Model</w:t>
        </w:r>
      </w:hyperlink>
    </w:p>
    <w:p w14:paraId="65BF9B4D" w14:textId="77777777" w:rsidR="00B270C0" w:rsidRDefault="00CC0628" w:rsidP="00B270C0">
      <w:pPr>
        <w:numPr>
          <w:ilvl w:val="0"/>
          <w:numId w:val="1"/>
        </w:numPr>
        <w:spacing w:after="0" w:line="240" w:lineRule="auto"/>
        <w:rPr>
          <w:rStyle w:val="Hyperlink"/>
          <w:b/>
          <w:color w:val="0070C0"/>
          <w:lang w:val="en"/>
        </w:rPr>
      </w:pPr>
      <w:hyperlink r:id="rId8" w:anchor="MeasureRepresentation" w:history="1">
        <w:r w:rsidR="00B270C0" w:rsidRPr="009509EE">
          <w:rPr>
            <w:rStyle w:val="Hyperlink"/>
            <w:b/>
            <w:bCs/>
            <w:lang w:val="en"/>
          </w:rPr>
          <w:t>Measure Representation</w:t>
        </w:r>
      </w:hyperlink>
    </w:p>
    <w:p w14:paraId="02B5BF67" w14:textId="77777777" w:rsidR="004D6B2D" w:rsidRDefault="004D6B2D" w:rsidP="00B270C0">
      <w:pPr>
        <w:numPr>
          <w:ilvl w:val="1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r>
        <w:rPr>
          <w:b/>
          <w:color w:val="0070C0"/>
          <w:u w:val="single"/>
          <w:lang w:val="en"/>
        </w:rPr>
        <w:t>Date and Time Calculations</w:t>
      </w:r>
    </w:p>
    <w:p w14:paraId="117C9183" w14:textId="77777777" w:rsidR="004D6B2D" w:rsidRDefault="004D6B2D" w:rsidP="00B270C0">
      <w:pPr>
        <w:numPr>
          <w:ilvl w:val="1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r w:rsidRPr="004D6B2D">
        <w:rPr>
          <w:b/>
          <w:color w:val="0070C0"/>
          <w:u w:val="single"/>
          <w:lang w:val="en"/>
        </w:rPr>
        <w:t>Ex</w:t>
      </w:r>
      <w:r>
        <w:rPr>
          <w:b/>
          <w:color w:val="0070C0"/>
          <w:u w:val="single"/>
          <w:lang w:val="en"/>
        </w:rPr>
        <w:t>pression Logical Model (ELM)</w:t>
      </w:r>
    </w:p>
    <w:p w14:paraId="72E6FFD1" w14:textId="77777777" w:rsidR="004D6B2D" w:rsidRDefault="004D6B2D" w:rsidP="00B270C0">
      <w:pPr>
        <w:numPr>
          <w:ilvl w:val="1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r>
        <w:rPr>
          <w:b/>
          <w:color w:val="0070C0"/>
          <w:u w:val="single"/>
          <w:lang w:val="en"/>
        </w:rPr>
        <w:t>Functions in CQL</w:t>
      </w:r>
    </w:p>
    <w:p w14:paraId="22F0F2BC" w14:textId="77777777" w:rsidR="004D6B2D" w:rsidRDefault="004D6B2D" w:rsidP="00B270C0">
      <w:pPr>
        <w:numPr>
          <w:ilvl w:val="1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r>
        <w:rPr>
          <w:b/>
          <w:color w:val="0070C0"/>
          <w:u w:val="single"/>
          <w:lang w:val="en"/>
        </w:rPr>
        <w:t>Occurrences in CQL</w:t>
      </w:r>
    </w:p>
    <w:p w14:paraId="109CC8E0" w14:textId="77777777" w:rsidR="004D6B2D" w:rsidRDefault="004D6B2D" w:rsidP="00B270C0">
      <w:pPr>
        <w:numPr>
          <w:ilvl w:val="1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r>
        <w:rPr>
          <w:b/>
          <w:color w:val="0070C0"/>
          <w:u w:val="single"/>
          <w:lang w:val="en"/>
        </w:rPr>
        <w:t>eCQM Specifications and CQL</w:t>
      </w:r>
    </w:p>
    <w:p w14:paraId="69D30427" w14:textId="77777777" w:rsidR="004D6B2D" w:rsidRDefault="004D6B2D" w:rsidP="00B270C0">
      <w:pPr>
        <w:numPr>
          <w:ilvl w:val="1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r>
        <w:rPr>
          <w:b/>
          <w:color w:val="0070C0"/>
          <w:u w:val="single"/>
          <w:lang w:val="en"/>
        </w:rPr>
        <w:t>Unions in CQL</w:t>
      </w:r>
    </w:p>
    <w:p w14:paraId="5F5330A5" w14:textId="77777777" w:rsidR="004D6B2D" w:rsidRDefault="004D6B2D" w:rsidP="00B270C0">
      <w:pPr>
        <w:numPr>
          <w:ilvl w:val="1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r>
        <w:rPr>
          <w:b/>
          <w:color w:val="0070C0"/>
          <w:u w:val="single"/>
          <w:lang w:val="en"/>
        </w:rPr>
        <w:t>Value Sets and CQL</w:t>
      </w:r>
    </w:p>
    <w:p w14:paraId="157E1A09" w14:textId="77777777" w:rsidR="004D6B2D" w:rsidRDefault="004D6B2D" w:rsidP="00B270C0">
      <w:pPr>
        <w:numPr>
          <w:ilvl w:val="1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r>
        <w:rPr>
          <w:b/>
          <w:color w:val="0070C0"/>
          <w:u w:val="single"/>
          <w:lang w:val="en"/>
        </w:rPr>
        <w:t>Queries in CQL</w:t>
      </w:r>
    </w:p>
    <w:p w14:paraId="21B99AEC" w14:textId="77777777" w:rsidR="004D6B2D" w:rsidRDefault="004D6B2D" w:rsidP="00B270C0">
      <w:pPr>
        <w:numPr>
          <w:ilvl w:val="1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r>
        <w:rPr>
          <w:b/>
          <w:color w:val="0070C0"/>
          <w:u w:val="single"/>
          <w:lang w:val="en"/>
        </w:rPr>
        <w:t>Using Coalesce</w:t>
      </w:r>
    </w:p>
    <w:p w14:paraId="6879066E" w14:textId="77777777" w:rsidR="004D6B2D" w:rsidRPr="009509EE" w:rsidRDefault="004D6B2D" w:rsidP="00B270C0">
      <w:pPr>
        <w:numPr>
          <w:ilvl w:val="1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r>
        <w:rPr>
          <w:b/>
          <w:color w:val="0070C0"/>
          <w:u w:val="single"/>
          <w:lang w:val="en"/>
        </w:rPr>
        <w:t>Using QDM</w:t>
      </w:r>
    </w:p>
    <w:p w14:paraId="05F89ABB" w14:textId="77777777" w:rsidR="004D6B2D" w:rsidRPr="004D6B2D" w:rsidRDefault="00CC0628" w:rsidP="004D6B2D">
      <w:pPr>
        <w:numPr>
          <w:ilvl w:val="0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hyperlink r:id="rId9" w:anchor="Roadmap" w:history="1">
        <w:r w:rsidR="004D6B2D" w:rsidRPr="004D6B2D">
          <w:rPr>
            <w:rStyle w:val="Hyperlink"/>
            <w:b/>
            <w:bCs/>
            <w:lang w:val="en"/>
          </w:rPr>
          <w:t>Roadmap</w:t>
        </w:r>
      </w:hyperlink>
    </w:p>
    <w:p w14:paraId="2D54B992" w14:textId="77777777" w:rsidR="004D6B2D" w:rsidRPr="009509EE" w:rsidRDefault="00CC0628" w:rsidP="004D6B2D">
      <w:pPr>
        <w:numPr>
          <w:ilvl w:val="0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hyperlink r:id="rId10" w:anchor="Terminology" w:history="1">
        <w:r w:rsidR="004D6B2D" w:rsidRPr="009509EE">
          <w:rPr>
            <w:rStyle w:val="Hyperlink"/>
            <w:b/>
            <w:bCs/>
            <w:lang w:val="en"/>
          </w:rPr>
          <w:t>Terminology</w:t>
        </w:r>
      </w:hyperlink>
    </w:p>
    <w:p w14:paraId="265FF460" w14:textId="77777777" w:rsidR="004D6B2D" w:rsidRPr="00B270C0" w:rsidRDefault="00CC0628" w:rsidP="004D6B2D">
      <w:pPr>
        <w:numPr>
          <w:ilvl w:val="0"/>
          <w:numId w:val="1"/>
        </w:numPr>
        <w:spacing w:after="0" w:line="240" w:lineRule="auto"/>
        <w:rPr>
          <w:rStyle w:val="Hyperlink"/>
          <w:b/>
          <w:color w:val="0070C0"/>
          <w:lang w:val="en"/>
        </w:rPr>
      </w:pPr>
      <w:hyperlink r:id="rId11" w:anchor="ToolingandImplementation" w:history="1">
        <w:r w:rsidR="004D6B2D" w:rsidRPr="009509EE">
          <w:rPr>
            <w:rStyle w:val="Hyperlink"/>
            <w:b/>
            <w:bCs/>
            <w:lang w:val="en"/>
          </w:rPr>
          <w:t>Tooling and Implementation</w:t>
        </w:r>
      </w:hyperlink>
    </w:p>
    <w:p w14:paraId="4A2ED4A6" w14:textId="77777777" w:rsidR="00B270C0" w:rsidRPr="00B270C0" w:rsidRDefault="00B270C0" w:rsidP="00B270C0">
      <w:pPr>
        <w:numPr>
          <w:ilvl w:val="1"/>
          <w:numId w:val="1"/>
        </w:numPr>
        <w:spacing w:after="0" w:line="240" w:lineRule="auto"/>
        <w:rPr>
          <w:rStyle w:val="Hyperlink"/>
          <w:b/>
          <w:color w:val="0070C0"/>
          <w:lang w:val="en"/>
        </w:rPr>
      </w:pPr>
      <w:r>
        <w:rPr>
          <w:rStyle w:val="Hyperlink"/>
          <w:b/>
          <w:bCs/>
          <w:lang w:val="en"/>
        </w:rPr>
        <w:t>Tooling</w:t>
      </w:r>
    </w:p>
    <w:p w14:paraId="01A0D2FA" w14:textId="77777777" w:rsidR="00B270C0" w:rsidRPr="009509EE" w:rsidRDefault="00B270C0" w:rsidP="00B270C0">
      <w:pPr>
        <w:numPr>
          <w:ilvl w:val="1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r>
        <w:rPr>
          <w:b/>
          <w:color w:val="0070C0"/>
          <w:u w:val="single"/>
          <w:lang w:val="en"/>
        </w:rPr>
        <w:t>Measure Authoring Tool (MAT)</w:t>
      </w:r>
    </w:p>
    <w:p w14:paraId="11CA7F2A" w14:textId="77777777" w:rsidR="004D6B2D" w:rsidRPr="009509EE" w:rsidRDefault="00CC0628" w:rsidP="004D6B2D">
      <w:pPr>
        <w:numPr>
          <w:ilvl w:val="0"/>
          <w:numId w:val="1"/>
        </w:numPr>
        <w:spacing w:after="0" w:line="240" w:lineRule="auto"/>
        <w:rPr>
          <w:b/>
          <w:color w:val="0070C0"/>
          <w:u w:val="single"/>
          <w:lang w:val="en"/>
        </w:rPr>
      </w:pPr>
      <w:hyperlink r:id="rId12" w:anchor="CQLandFHIR" w:history="1">
        <w:r w:rsidR="004D6B2D" w:rsidRPr="009509EE">
          <w:rPr>
            <w:rStyle w:val="Hyperlink"/>
            <w:b/>
            <w:bCs/>
            <w:lang w:val="en"/>
          </w:rPr>
          <w:t>CQL and FHIR</w:t>
        </w:r>
      </w:hyperlink>
    </w:p>
    <w:p w14:paraId="207D2688" w14:textId="77777777" w:rsidR="004D6B2D" w:rsidRDefault="004D6B2D" w:rsidP="00BA0EFC">
      <w:pPr>
        <w:spacing w:after="0" w:line="240" w:lineRule="auto"/>
      </w:pPr>
    </w:p>
    <w:sectPr w:rsidR="004D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2D79"/>
    <w:multiLevelType w:val="hybridMultilevel"/>
    <w:tmpl w:val="826CFE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370912"/>
    <w:multiLevelType w:val="multilevel"/>
    <w:tmpl w:val="5840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2ED"/>
    <w:rsid w:val="000434C7"/>
    <w:rsid w:val="0004645A"/>
    <w:rsid w:val="000A222D"/>
    <w:rsid w:val="000B0957"/>
    <w:rsid w:val="001302ED"/>
    <w:rsid w:val="002B7CBB"/>
    <w:rsid w:val="002C5F06"/>
    <w:rsid w:val="00445D28"/>
    <w:rsid w:val="004B6E9D"/>
    <w:rsid w:val="004C7778"/>
    <w:rsid w:val="004D6B2D"/>
    <w:rsid w:val="00531DE0"/>
    <w:rsid w:val="00681D3D"/>
    <w:rsid w:val="006B3CF4"/>
    <w:rsid w:val="0079223A"/>
    <w:rsid w:val="00896528"/>
    <w:rsid w:val="008A4365"/>
    <w:rsid w:val="008B1140"/>
    <w:rsid w:val="009A6503"/>
    <w:rsid w:val="00A334CF"/>
    <w:rsid w:val="00AF5751"/>
    <w:rsid w:val="00B11949"/>
    <w:rsid w:val="00B260E3"/>
    <w:rsid w:val="00B270C0"/>
    <w:rsid w:val="00BA0EFC"/>
    <w:rsid w:val="00CC0628"/>
    <w:rsid w:val="00E2694C"/>
    <w:rsid w:val="00E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5170"/>
  <w15:chartTrackingRefBased/>
  <w15:docId w15:val="{37B1B396-7AEC-4B13-B196-BCF2F4CF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6B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7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C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1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qi.healthit.gov/cql/CQ-Qs%26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qi.healthit.gov/cql/CQ-Qs%26As" TargetMode="External"/><Relationship Id="rId12" Type="http://schemas.openxmlformats.org/officeDocument/2006/relationships/hyperlink" Target="https://ecqi.healthit.gov/cql/CQ-Qs%26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qi.healthit.gov/cql/CQ-Qs%26As" TargetMode="External"/><Relationship Id="rId11" Type="http://schemas.openxmlformats.org/officeDocument/2006/relationships/hyperlink" Target="https://ecqi.healthit.gov/cql/CQ-Qs%26As" TargetMode="External"/><Relationship Id="rId5" Type="http://schemas.openxmlformats.org/officeDocument/2006/relationships/hyperlink" Target="https://ecqi.healthit.gov/cql/CQ-Qs%26As" TargetMode="External"/><Relationship Id="rId10" Type="http://schemas.openxmlformats.org/officeDocument/2006/relationships/hyperlink" Target="https://ecqi.healthit.gov/cql/CQ-Qs%26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qi.healthit.gov/cql/CQ-Qs%26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812</Words>
  <Characters>2672</Characters>
  <Application>Microsoft Office Word</Application>
  <DocSecurity>0</DocSecurity>
  <Lines>890</Lines>
  <Paragraphs>696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Gatiba, Ruth W</dc:creator>
  <cp:keywords/>
  <dc:description/>
  <cp:lastModifiedBy>Rhonda Schwartz</cp:lastModifiedBy>
  <cp:revision>2</cp:revision>
  <dcterms:created xsi:type="dcterms:W3CDTF">2020-04-08T15:59:00Z</dcterms:created>
  <dcterms:modified xsi:type="dcterms:W3CDTF">2020-04-08T15:59:00Z</dcterms:modified>
</cp:coreProperties>
</file>