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ECE9" w14:textId="77777777" w:rsidR="00E34288" w:rsidRDefault="00000000">
      <w:pPr>
        <w:pStyle w:val="Title"/>
        <w:pBdr>
          <w:bottom w:val="nil"/>
        </w:pBdr>
      </w:pPr>
      <w:r>
        <w:t>Vacuum World Agent Function</w:t>
      </w:r>
    </w:p>
    <w:p w14:paraId="770666C8" w14:textId="77777777" w:rsidR="00E34288" w:rsidRDefault="00000000">
      <w:pPr>
        <w:spacing w:after="240"/>
      </w:pPr>
      <w:r>
        <w:rPr>
          <w:color w:val="5C6A7B"/>
          <w:sz w:val="25"/>
        </w:rPr>
        <w:t>A mathematical breakdown of percept-sequence tables versus a compact agent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34288" w14:paraId="0A60B46E" w14:textId="77777777">
        <w:trPr>
          <w:cantSplit/>
          <w:jc w:val="center"/>
        </w:trPr>
        <w:tc>
          <w:tcPr>
            <w:tcW w:w="9994" w:type="dxa"/>
            <w:shd w:val="clear" w:color="auto" w:fill="E9F0F8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4BA1F314" w14:textId="77777777" w:rsidR="00E34288" w:rsidRDefault="00000000">
            <w:pPr>
              <w:spacing w:after="80"/>
            </w:pPr>
            <w:r>
              <w:rPr>
                <w:b/>
                <w:color w:val="123463"/>
                <w:sz w:val="23"/>
              </w:rPr>
              <w:t>Core result</w:t>
            </w:r>
          </w:p>
          <w:p w14:paraId="1EF7255A" w14:textId="77777777" w:rsidR="00E34288" w:rsidRDefault="00000000">
            <w:pPr>
              <w:spacing w:after="0"/>
            </w:pPr>
            <w:r>
              <w:t xml:space="preserve">With 4 possible percepts per time step and a lifetime of T steps, the complete lookup table contains </w:t>
            </w:r>
            <w:r>
              <w:rPr>
                <w:rFonts w:ascii="Cambria Math" w:hAnsi="Cambria Math"/>
              </w:rPr>
              <w:t>4</w:t>
            </w:r>
            <w:r>
              <w:rPr>
                <w:rFonts w:ascii="Cambria Math" w:hAnsi="Cambria Math"/>
                <w:vertAlign w:val="superscript"/>
              </w:rPr>
              <w:t>1</w:t>
            </w:r>
            <w:r>
              <w:t xml:space="preserve"> + </w:t>
            </w:r>
            <w:r>
              <w:rPr>
                <w:rFonts w:ascii="Cambria Math" w:hAnsi="Cambria Math"/>
              </w:rPr>
              <w:t>4</w:t>
            </w:r>
            <w:r>
              <w:rPr>
                <w:rFonts w:ascii="Cambria Math" w:hAnsi="Cambria Math"/>
                <w:vertAlign w:val="superscript"/>
              </w:rPr>
              <w:t>2</w:t>
            </w:r>
            <w:r>
              <w:t xml:space="preserve"> + ... + </w:t>
            </w:r>
            <w:r>
              <w:rPr>
                <w:rFonts w:ascii="Cambria Math" w:hAnsi="Cambria Math"/>
              </w:rPr>
              <w:t>4</w:t>
            </w:r>
            <w:r>
              <w:rPr>
                <w:rFonts w:ascii="Cambria Math" w:hAnsi="Cambria Math"/>
                <w:vertAlign w:val="superscript"/>
              </w:rPr>
              <w:t>T</w:t>
            </w:r>
            <w:r>
              <w:t xml:space="preserve"> rows. This is exponential in T. The agent program that generates the same behavior uses only a constant number of comparisons and no history of prior percepts.</w:t>
            </w:r>
          </w:p>
        </w:tc>
      </w:tr>
    </w:tbl>
    <w:p w14:paraId="3AF6A56C" w14:textId="77777777" w:rsidR="00E34288" w:rsidRDefault="00000000">
      <w:pPr>
        <w:pStyle w:val="Heading1"/>
      </w:pPr>
      <w:r>
        <w:t>1. Why there are four possible percepts</w:t>
      </w:r>
    </w:p>
    <w:p w14:paraId="2334E253" w14:textId="77777777" w:rsidR="00E34288" w:rsidRDefault="00000000">
      <w:r>
        <w:t>At each step, the simple two-square vacuum world tells the agent two facts:</w:t>
      </w:r>
    </w:p>
    <w:p w14:paraId="3EDB4592" w14:textId="77777777" w:rsidR="00E34288" w:rsidRDefault="00000000">
      <w:pPr>
        <w:ind w:left="317"/>
      </w:pPr>
      <w:r>
        <w:rPr>
          <w:b/>
        </w:rPr>
        <w:t xml:space="preserve">• </w:t>
      </w:r>
      <w:r>
        <w:t>Location: A or B (2 possibilities)</w:t>
      </w:r>
    </w:p>
    <w:p w14:paraId="7D08CD73" w14:textId="77777777" w:rsidR="00E34288" w:rsidRDefault="00000000">
      <w:pPr>
        <w:ind w:left="317"/>
      </w:pPr>
      <w:r>
        <w:rPr>
          <w:b/>
        </w:rPr>
        <w:t xml:space="preserve">• </w:t>
      </w:r>
      <w:r>
        <w:t>Condition: Clean or Dirty (2 possibilities)</w:t>
      </w:r>
    </w:p>
    <w:p w14:paraId="55BEA5B1" w14:textId="77777777" w:rsidR="00E34288" w:rsidRDefault="00000000">
      <w:r>
        <w:t xml:space="preserve">By the multiplication rule, the number of distinct percepts is </w:t>
      </w:r>
      <w:r>
        <w:rPr>
          <w:rFonts w:ascii="Cambria Math" w:hAnsi="Cambria Math"/>
          <w:b/>
          <w:color w:val="123463"/>
        </w:rPr>
        <w:t>2 × 2 = 4</w:t>
      </w:r>
      <w:r>
        <w:t>. A convenient notation 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E34288" w14:paraId="5E8F72D5" w14:textId="77777777">
        <w:trPr>
          <w:cantSplit/>
          <w:jc w:val="center"/>
        </w:trPr>
        <w:tc>
          <w:tcPr>
            <w:tcW w:w="2498" w:type="dxa"/>
            <w:shd w:val="clear" w:color="auto" w:fill="DDE8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E76D51" w14:textId="77777777" w:rsidR="00E34288" w:rsidRDefault="00000000">
            <w:r>
              <w:rPr>
                <w:b/>
                <w:color w:val="123463"/>
                <w:sz w:val="19"/>
              </w:rPr>
              <w:t>[A, Clean]</w:t>
            </w:r>
          </w:p>
        </w:tc>
        <w:tc>
          <w:tcPr>
            <w:tcW w:w="2498" w:type="dxa"/>
            <w:shd w:val="clear" w:color="auto" w:fill="DDE8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97321" w14:textId="77777777" w:rsidR="00E34288" w:rsidRDefault="00000000">
            <w:r>
              <w:rPr>
                <w:b/>
                <w:color w:val="123463"/>
                <w:sz w:val="19"/>
              </w:rPr>
              <w:t>[A, Dirty]</w:t>
            </w:r>
          </w:p>
        </w:tc>
        <w:tc>
          <w:tcPr>
            <w:tcW w:w="2498" w:type="dxa"/>
            <w:shd w:val="clear" w:color="auto" w:fill="DDE8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25D08" w14:textId="77777777" w:rsidR="00E34288" w:rsidRDefault="00000000">
            <w:r>
              <w:rPr>
                <w:b/>
                <w:color w:val="123463"/>
                <w:sz w:val="19"/>
              </w:rPr>
              <w:t>[B, Clean]</w:t>
            </w:r>
          </w:p>
        </w:tc>
        <w:tc>
          <w:tcPr>
            <w:tcW w:w="2498" w:type="dxa"/>
            <w:shd w:val="clear" w:color="auto" w:fill="DDE8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7BD8C" w14:textId="77777777" w:rsidR="00E34288" w:rsidRDefault="00000000">
            <w:r>
              <w:rPr>
                <w:b/>
                <w:color w:val="123463"/>
                <w:sz w:val="19"/>
              </w:rPr>
              <w:t>[B, Dirty]</w:t>
            </w:r>
          </w:p>
        </w:tc>
      </w:tr>
      <w:tr w:rsidR="00E34288" w14:paraId="2940E24A" w14:textId="77777777">
        <w:trPr>
          <w:cantSplit/>
          <w:jc w:val="center"/>
        </w:trPr>
        <w:tc>
          <w:tcPr>
            <w:tcW w:w="24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354074" w14:textId="77777777" w:rsidR="00E34288" w:rsidRDefault="00000000">
            <w:pPr>
              <w:jc w:val="center"/>
            </w:pPr>
            <w:r>
              <w:rPr>
                <w:rFonts w:ascii="Cambria Math" w:hAnsi="Cambria Math"/>
              </w:rPr>
              <w:t>p</w:t>
            </w:r>
            <w:r>
              <w:rPr>
                <w:rFonts w:ascii="Cambria Math" w:hAnsi="Cambria Math"/>
                <w:vertAlign w:val="subscript"/>
              </w:rPr>
              <w:t>1</w:t>
            </w:r>
          </w:p>
        </w:tc>
        <w:tc>
          <w:tcPr>
            <w:tcW w:w="24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F66B45" w14:textId="77777777" w:rsidR="00E34288" w:rsidRDefault="00000000">
            <w:pPr>
              <w:jc w:val="center"/>
            </w:pPr>
            <w:r>
              <w:rPr>
                <w:rFonts w:ascii="Cambria Math" w:hAnsi="Cambria Math"/>
              </w:rPr>
              <w:t>p</w:t>
            </w:r>
            <w:r>
              <w:rPr>
                <w:rFonts w:ascii="Cambria Math" w:hAnsi="Cambria Math"/>
                <w:vertAlign w:val="subscript"/>
              </w:rPr>
              <w:t>2</w:t>
            </w:r>
          </w:p>
        </w:tc>
        <w:tc>
          <w:tcPr>
            <w:tcW w:w="24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7E1AB1" w14:textId="77777777" w:rsidR="00E34288" w:rsidRDefault="00000000">
            <w:pPr>
              <w:jc w:val="center"/>
            </w:pPr>
            <w:r>
              <w:rPr>
                <w:rFonts w:ascii="Cambria Math" w:hAnsi="Cambria Math"/>
              </w:rPr>
              <w:t>p</w:t>
            </w:r>
            <w:r>
              <w:rPr>
                <w:rFonts w:ascii="Cambria Math" w:hAnsi="Cambria Math"/>
                <w:vertAlign w:val="subscript"/>
              </w:rPr>
              <w:t>3</w:t>
            </w:r>
          </w:p>
        </w:tc>
        <w:tc>
          <w:tcPr>
            <w:tcW w:w="24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D2F655" w14:textId="77777777" w:rsidR="00E34288" w:rsidRDefault="00000000">
            <w:pPr>
              <w:jc w:val="center"/>
            </w:pPr>
            <w:r>
              <w:rPr>
                <w:rFonts w:ascii="Cambria Math" w:hAnsi="Cambria Math"/>
              </w:rPr>
              <w:t>p</w:t>
            </w:r>
            <w:r>
              <w:rPr>
                <w:rFonts w:ascii="Cambria Math" w:hAnsi="Cambria Math"/>
                <w:vertAlign w:val="subscript"/>
              </w:rPr>
              <w:t>4</w:t>
            </w:r>
          </w:p>
        </w:tc>
      </w:tr>
    </w:tbl>
    <w:p w14:paraId="3935E855" w14:textId="77777777" w:rsidR="00E34288" w:rsidRDefault="00000000">
      <w:pPr>
        <w:pStyle w:val="Heading1"/>
      </w:pPr>
      <w:r>
        <w:t>2. Counting all percept sequences through time T</w:t>
      </w:r>
    </w:p>
    <w:p w14:paraId="641EC83D" w14:textId="77777777" w:rsidR="00E34288" w:rsidRDefault="00000000">
      <w:r>
        <w:t>A table-driven agent needs one action for every percept sequence it might have experienced. If the sequence has length k, then each of the k positions can contain any of 4 percepts.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34288" w14:paraId="45432C25" w14:textId="77777777">
        <w:trPr>
          <w:cantSplit/>
          <w:jc w:val="center"/>
        </w:trPr>
        <w:tc>
          <w:tcPr>
            <w:tcW w:w="9994" w:type="dxa"/>
            <w:shd w:val="clear" w:color="auto" w:fill="F5F8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F4B151" w14:textId="77777777" w:rsidR="00E34288" w:rsidRDefault="00000000">
            <w:pPr>
              <w:jc w:val="center"/>
            </w:pPr>
            <w:r>
              <w:t xml:space="preserve">Number of sequences of length k = </w:t>
            </w:r>
            <w:r>
              <w:rPr>
                <w:rFonts w:ascii="Cambria Math" w:hAnsi="Cambria Math"/>
                <w:b/>
                <w:color w:val="123463"/>
                <w:sz w:val="30"/>
              </w:rPr>
              <w:t>4</w:t>
            </w:r>
            <w:r>
              <w:rPr>
                <w:rFonts w:ascii="Cambria Math" w:hAnsi="Cambria Math"/>
                <w:b/>
                <w:color w:val="123463"/>
                <w:sz w:val="30"/>
                <w:vertAlign w:val="superscript"/>
              </w:rPr>
              <w:t>k</w:t>
            </w:r>
          </w:p>
        </w:tc>
      </w:tr>
    </w:tbl>
    <w:p w14:paraId="3D01585D" w14:textId="77777777" w:rsidR="00E34288" w:rsidRDefault="00000000">
      <w:r>
        <w:t>Therefore, the table must include all sequence lengths from 1 through T:</w:t>
      </w:r>
    </w:p>
    <w:p w14:paraId="77A7C837" w14:textId="77777777" w:rsidR="00E34288" w:rsidRDefault="00000000">
      <w:pPr>
        <w:jc w:val="center"/>
      </w:pPr>
      <w:r>
        <w:rPr>
          <w:rFonts w:ascii="Cambria Math" w:hAnsi="Cambria Math"/>
          <w:b/>
          <w:color w:val="123463"/>
          <w:sz w:val="26"/>
        </w:rPr>
        <w:t>N(T) = 4</w:t>
      </w:r>
      <w:r>
        <w:rPr>
          <w:rFonts w:ascii="Cambria Math" w:hAnsi="Cambria Math"/>
          <w:b/>
          <w:color w:val="123463"/>
          <w:sz w:val="26"/>
          <w:vertAlign w:val="superscript"/>
        </w:rPr>
        <w:t>1</w:t>
      </w:r>
      <w:r>
        <w:rPr>
          <w:rFonts w:ascii="Cambria Math" w:hAnsi="Cambria Math"/>
          <w:b/>
          <w:color w:val="123463"/>
          <w:sz w:val="26"/>
        </w:rPr>
        <w:t xml:space="preserve"> + 4</w:t>
      </w:r>
      <w:r>
        <w:rPr>
          <w:rFonts w:ascii="Cambria Math" w:hAnsi="Cambria Math"/>
          <w:b/>
          <w:color w:val="123463"/>
          <w:sz w:val="26"/>
          <w:vertAlign w:val="superscript"/>
        </w:rPr>
        <w:t>2</w:t>
      </w:r>
      <w:r>
        <w:rPr>
          <w:rFonts w:ascii="Cambria Math" w:hAnsi="Cambria Math"/>
          <w:b/>
          <w:color w:val="123463"/>
          <w:sz w:val="26"/>
        </w:rPr>
        <w:t xml:space="preserve"> + 4</w:t>
      </w:r>
      <w:r>
        <w:rPr>
          <w:rFonts w:ascii="Cambria Math" w:hAnsi="Cambria Math"/>
          <w:b/>
          <w:color w:val="123463"/>
          <w:sz w:val="26"/>
          <w:vertAlign w:val="superscript"/>
        </w:rPr>
        <w:t>3</w:t>
      </w:r>
      <w:r>
        <w:rPr>
          <w:rFonts w:ascii="Cambria Math" w:hAnsi="Cambria Math"/>
          <w:b/>
          <w:color w:val="123463"/>
          <w:sz w:val="26"/>
        </w:rPr>
        <w:t xml:space="preserve"> + ... + 4</w:t>
      </w:r>
      <w:r>
        <w:rPr>
          <w:rFonts w:ascii="Cambria Math" w:hAnsi="Cambria Math"/>
          <w:b/>
          <w:color w:val="123463"/>
          <w:sz w:val="26"/>
          <w:vertAlign w:val="superscript"/>
        </w:rPr>
        <w:t>T</w:t>
      </w:r>
    </w:p>
    <w:p w14:paraId="7AB8DD6A" w14:textId="77777777" w:rsidR="00E34288" w:rsidRDefault="00000000">
      <w:r>
        <w:t>This is a finite geometric series with first term 4 and common ratio 4. Using the geometric-series formula,</w:t>
      </w:r>
    </w:p>
    <w:p w14:paraId="21131A07" w14:textId="77777777" w:rsidR="00E34288" w:rsidRDefault="00000000">
      <w:pPr>
        <w:jc w:val="center"/>
      </w:pPr>
      <w:r>
        <w:rPr>
          <w:rFonts w:ascii="Cambria Math" w:hAnsi="Cambria Math"/>
          <w:sz w:val="25"/>
        </w:rPr>
        <w:t>N(T) = 4(4</w:t>
      </w:r>
      <w:r>
        <w:rPr>
          <w:rFonts w:ascii="Cambria Math" w:hAnsi="Cambria Math"/>
          <w:sz w:val="25"/>
          <w:vertAlign w:val="superscript"/>
        </w:rPr>
        <w:t>T</w:t>
      </w:r>
      <w:r>
        <w:rPr>
          <w:rFonts w:ascii="Cambria Math" w:hAnsi="Cambria Math"/>
          <w:sz w:val="25"/>
        </w:rPr>
        <w:t xml:space="preserve"> − 1)/(4 − 1)</w:t>
      </w:r>
    </w:p>
    <w:p w14:paraId="74DA5562" w14:textId="77777777" w:rsidR="00E34288" w:rsidRDefault="00000000">
      <w:pPr>
        <w:jc w:val="center"/>
      </w:pPr>
      <w:r>
        <w:rPr>
          <w:rFonts w:ascii="Cambria Math" w:hAnsi="Cambria Math"/>
          <w:b/>
          <w:color w:val="1F7A48"/>
          <w:sz w:val="28"/>
        </w:rPr>
        <w:t>N(T) = (4</w:t>
      </w:r>
      <w:r>
        <w:rPr>
          <w:rFonts w:ascii="Cambria Math" w:hAnsi="Cambria Math"/>
          <w:b/>
          <w:color w:val="1F7A48"/>
          <w:sz w:val="28"/>
          <w:vertAlign w:val="superscript"/>
        </w:rPr>
        <w:t>T+1</w:t>
      </w:r>
      <w:r>
        <w:rPr>
          <w:rFonts w:ascii="Cambria Math" w:hAnsi="Cambria Math"/>
          <w:b/>
          <w:color w:val="1F7A48"/>
          <w:sz w:val="28"/>
        </w:rPr>
        <w:t xml:space="preserve"> − 4)/3</w:t>
      </w:r>
    </w:p>
    <w:p w14:paraId="770A7E72" w14:textId="77777777" w:rsidR="00E34288" w:rsidRDefault="00000000">
      <w:r>
        <w:t xml:space="preserve">Asymptotically, the highest-order term dominates, so </w:t>
      </w:r>
      <w:r>
        <w:rPr>
          <w:rFonts w:ascii="Cambria Math" w:hAnsi="Cambria Math"/>
          <w:b/>
        </w:rPr>
        <w:t>N(T) = Θ(4</w:t>
      </w:r>
      <w:r>
        <w:rPr>
          <w:rFonts w:ascii="Cambria Math" w:hAnsi="Cambria Math"/>
          <w:b/>
          <w:vertAlign w:val="superscript"/>
        </w:rPr>
        <w:t>T</w:t>
      </w:r>
      <w:r>
        <w:rPr>
          <w:rFonts w:ascii="Cambria Math" w:hAnsi="Cambria Math"/>
          <w:b/>
        </w:rPr>
        <w:t>)</w:t>
      </w:r>
      <w:r>
        <w:t>. Every extra time step multiplies the dominant table size by roughly four.</w:t>
      </w:r>
    </w:p>
    <w:p w14:paraId="56F58211" w14:textId="77777777" w:rsidR="003403B9" w:rsidRDefault="003403B9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23463"/>
          <w:sz w:val="32"/>
          <w:szCs w:val="28"/>
        </w:rPr>
      </w:pPr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>
        <w:trPr>
          <w:cantSplit/>
          <w:jc w:val="center"/>
        </w:trPr>
        <w:tc>
          <w:tcPr>
            <w:tcW w:w="9994" w:type="dxa"/>
            <w:shd w:val="clear" w:color="auto" w:fill="FFF6D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123463"/>
                <w:sz w:val="22"/>
              </w:rPr>
              <w:t>Reading the notation: O, Ω, and Θ</w:t>
            </w:r>
          </w:p>
          <w:p>
            <w:pPr>
              <w:spacing w:after="80"/>
            </w:pPr>
            <w:r>
              <w:rPr>
                <w:sz w:val="19"/>
              </w:rPr>
              <w:t>Θ is capital Greek theta — an oval with a bar through it, not the slashed empty set ∅. The three asymptotic bounds:</w:t>
            </w:r>
          </w:p>
          <w:p>
            <w:pPr>
              <w:spacing w:after="40"/>
              <w:ind w:left="317"/>
            </w:pPr>
            <w:r>
              <w:rPr>
                <w:b/>
                <w:sz w:val="19"/>
              </w:rPr>
              <w:t xml:space="preserve">• </w:t>
            </w:r>
            <w:r>
              <w:rPr>
                <w:rFonts w:ascii="Cambria Math" w:hAnsi="Cambria Math"/>
                <w:b/>
                <w:sz w:val="19"/>
              </w:rPr>
              <w:t>O(f)</w:t>
            </w:r>
            <w:r>
              <w:rPr>
                <w:sz w:val="19"/>
              </w:rPr>
              <w:t xml:space="preserve"> — upper bound: grows no faster than f.</w:t>
            </w:r>
          </w:p>
          <w:p>
            <w:pPr>
              <w:spacing w:after="40"/>
              <w:ind w:left="317"/>
            </w:pPr>
            <w:r>
              <w:rPr>
                <w:b/>
                <w:sz w:val="19"/>
              </w:rPr>
              <w:t xml:space="preserve">• </w:t>
            </w:r>
            <w:r>
              <w:rPr>
                <w:rFonts w:ascii="Cambria Math" w:hAnsi="Cambria Math"/>
                <w:b/>
                <w:sz w:val="19"/>
              </w:rPr>
              <w:t>Ω(f)</w:t>
            </w:r>
            <w:r>
              <w:rPr>
                <w:sz w:val="19"/>
              </w:rPr>
              <w:t xml:space="preserve"> — lower bound: grows at least as fast as f.</w:t>
            </w:r>
          </w:p>
          <w:p>
            <w:pPr>
              <w:spacing w:after="40"/>
              <w:ind w:left="317"/>
            </w:pPr>
            <w:r>
              <w:rPr>
                <w:b/>
                <w:sz w:val="19"/>
              </w:rPr>
              <w:t xml:space="preserve">• </w:t>
            </w:r>
            <w:r>
              <w:rPr>
                <w:rFonts w:ascii="Cambria Math" w:hAnsi="Cambria Math"/>
                <w:b/>
                <w:sz w:val="19"/>
              </w:rPr>
              <w:t>Θ(f)</w:t>
            </w:r>
            <w:r>
              <w:rPr>
                <w:sz w:val="19"/>
              </w:rPr>
              <w:t xml:space="preserve"> — both at once: grows proportionally to f, up to constant factors.</w:t>
            </w:r>
          </w:p>
          <w:p>
            <w:pPr>
              <w:spacing w:after="0"/>
            </w:pPr>
            <w:r>
              <w:rPr>
                <w:sz w:val="19"/>
              </w:rPr>
              <w:t xml:space="preserve">Θ fits here because the closed form </w:t>
            </w:r>
            <w:r>
              <w:rPr>
                <w:rFonts w:ascii="Cambria Math" w:hAnsi="Cambria Math"/>
                <w:sz w:val="19"/>
              </w:rPr>
              <w:t>(4</w:t>
            </w:r>
            <w:r>
              <w:rPr>
                <w:rFonts w:ascii="Cambria Math" w:hAnsi="Cambria Math"/>
                <w:sz w:val="19"/>
                <w:vertAlign w:val="superscript"/>
              </w:rPr>
              <w:t>T+1</w:t>
            </w:r>
            <w:r>
              <w:rPr>
                <w:rFonts w:ascii="Cambria Math" w:hAnsi="Cambria Math"/>
                <w:sz w:val="19"/>
              </w:rPr>
              <w:t xml:space="preserve"> − 4)/3</w:t>
            </w:r>
            <w:r>
              <w:rPr>
                <w:sz w:val="19"/>
              </w:rPr>
              <w:t xml:space="preserve"> pins the rate from both sides. Θ(1) means constant in T.</w:t>
            </w:r>
          </w:p>
        </w:tc>
      </w:tr>
    </w:tbl>
    <w:p/>
    <w:p w14:paraId="68A1C057" w14:textId="6895D411" w:rsidR="00E34288" w:rsidRDefault="00000000">
      <w:pPr>
        <w:pStyle w:val="Heading1"/>
      </w:pPr>
      <w:r>
        <w:lastRenderedPageBreak/>
        <w:t>3. How fast the table grows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4320"/>
      </w:tblGrid>
      <w:tr w:rsidR="00E34288" w14:paraId="552F4294" w14:textId="77777777">
        <w:trPr>
          <w:cantSplit/>
          <w:tblHeader/>
          <w:jc w:val="center"/>
        </w:trPr>
        <w:tc>
          <w:tcPr>
            <w:tcW w:w="3331" w:type="dxa"/>
            <w:shd w:val="clear" w:color="auto" w:fill="DDE8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5CBD39" w14:textId="77777777" w:rsidR="00E34288" w:rsidRDefault="00000000">
            <w:r>
              <w:rPr>
                <w:b/>
                <w:color w:val="123463"/>
                <w:sz w:val="19"/>
              </w:rPr>
              <w:t>Lifetime T</w:t>
            </w:r>
          </w:p>
        </w:tc>
        <w:tc>
          <w:tcPr>
            <w:tcW w:w="3331" w:type="dxa"/>
            <w:shd w:val="clear" w:color="auto" w:fill="DDE8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D3F19A" w14:textId="77777777" w:rsidR="00E34288" w:rsidRDefault="00000000">
            <w:r>
              <w:rPr>
                <w:b/>
                <w:color w:val="123463"/>
                <w:sz w:val="19"/>
              </w:rPr>
              <w:t>Rows N(T)</w:t>
            </w:r>
          </w:p>
        </w:tc>
        <w:tc>
          <w:tcPr>
            <w:tcW w:w="3331" w:type="dxa"/>
            <w:shd w:val="clear" w:color="auto" w:fill="DDE8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E855C4" w14:textId="77777777" w:rsidR="00E34288" w:rsidRDefault="00000000">
            <w:r>
              <w:rPr>
                <w:b/>
                <w:color w:val="123463"/>
                <w:sz w:val="19"/>
              </w:rPr>
              <w:t>Interpretation</w:t>
            </w:r>
          </w:p>
        </w:tc>
      </w:tr>
      <w:tr w:rsidR="00E34288" w14:paraId="700A214D" w14:textId="77777777">
        <w:trPr>
          <w:cantSplit/>
          <w:jc w:val="center"/>
        </w:trPr>
        <w:tc>
          <w:tcPr>
            <w:tcW w:w="172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1A03B5" w14:textId="77777777" w:rsidR="00E34288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16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E0CE55C" w14:textId="77777777" w:rsidR="00E34288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32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FC7D383" w14:textId="77777777" w:rsidR="00E34288" w:rsidRDefault="00000000">
            <w:r>
              <w:rPr>
                <w:sz w:val="19"/>
              </w:rPr>
              <w:t>Tiny</w:t>
            </w:r>
          </w:p>
        </w:tc>
      </w:tr>
      <w:tr w:rsidR="00E34288" w14:paraId="0C0E77DD" w14:textId="77777777">
        <w:trPr>
          <w:cantSplit/>
          <w:jc w:val="center"/>
        </w:trPr>
        <w:tc>
          <w:tcPr>
            <w:tcW w:w="172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AC8992" w14:textId="77777777" w:rsidR="00E34288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16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92696F5" w14:textId="77777777" w:rsidR="00E34288" w:rsidRDefault="00000000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432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87A0494" w14:textId="77777777" w:rsidR="00E34288" w:rsidRDefault="00000000">
            <w:r>
              <w:rPr>
                <w:sz w:val="19"/>
              </w:rPr>
              <w:t>Still small</w:t>
            </w:r>
          </w:p>
        </w:tc>
      </w:tr>
      <w:tr w:rsidR="00E34288" w14:paraId="495884CA" w14:textId="77777777">
        <w:trPr>
          <w:cantSplit/>
          <w:jc w:val="center"/>
        </w:trPr>
        <w:tc>
          <w:tcPr>
            <w:tcW w:w="172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190173" w14:textId="77777777" w:rsidR="00E34288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16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4595A0A" w14:textId="77777777" w:rsidR="00E34288" w:rsidRDefault="00000000">
            <w:pPr>
              <w:jc w:val="center"/>
            </w:pPr>
            <w:r>
              <w:rPr>
                <w:sz w:val="19"/>
              </w:rPr>
              <w:t>84</w:t>
            </w:r>
          </w:p>
        </w:tc>
        <w:tc>
          <w:tcPr>
            <w:tcW w:w="432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E0137D" w14:textId="77777777" w:rsidR="00E34288" w:rsidRDefault="00000000">
            <w:r>
              <w:rPr>
                <w:sz w:val="19"/>
              </w:rPr>
              <w:t>Already 84 action entries</w:t>
            </w:r>
          </w:p>
        </w:tc>
      </w:tr>
      <w:tr w:rsidR="00E34288" w14:paraId="372F6704" w14:textId="77777777">
        <w:trPr>
          <w:cantSplit/>
          <w:jc w:val="center"/>
        </w:trPr>
        <w:tc>
          <w:tcPr>
            <w:tcW w:w="172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3EB262D" w14:textId="77777777" w:rsidR="00E34288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316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2482A9" w14:textId="77777777" w:rsidR="00E34288" w:rsidRDefault="00000000">
            <w:pPr>
              <w:jc w:val="center"/>
            </w:pPr>
            <w:r>
              <w:rPr>
                <w:sz w:val="19"/>
              </w:rPr>
              <w:t>1,364</w:t>
            </w:r>
          </w:p>
        </w:tc>
        <w:tc>
          <w:tcPr>
            <w:tcW w:w="432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6B55FF7" w14:textId="77777777" w:rsidR="00E34288" w:rsidRDefault="00000000">
            <w:r>
              <w:rPr>
                <w:sz w:val="19"/>
              </w:rPr>
              <w:t>Over one thousand rows</w:t>
            </w:r>
          </w:p>
        </w:tc>
      </w:tr>
      <w:tr w:rsidR="00E34288" w14:paraId="03253DA1" w14:textId="77777777">
        <w:trPr>
          <w:cantSplit/>
          <w:jc w:val="center"/>
        </w:trPr>
        <w:tc>
          <w:tcPr>
            <w:tcW w:w="172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08FC797" w14:textId="77777777" w:rsidR="00E34288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316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E8BC1B" w14:textId="77777777" w:rsidR="00E34288" w:rsidRDefault="00000000">
            <w:pPr>
              <w:jc w:val="center"/>
            </w:pPr>
            <w:r>
              <w:rPr>
                <w:sz w:val="19"/>
              </w:rPr>
              <w:t>1,398,100</w:t>
            </w:r>
          </w:p>
        </w:tc>
        <w:tc>
          <w:tcPr>
            <w:tcW w:w="432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9851FE3" w14:textId="77777777" w:rsidR="00E34288" w:rsidRDefault="00000000">
            <w:r>
              <w:rPr>
                <w:sz w:val="19"/>
              </w:rPr>
              <w:t>About 1.4 million rows</w:t>
            </w:r>
          </w:p>
        </w:tc>
      </w:tr>
      <w:tr w:rsidR="00E34288" w14:paraId="1307AB5C" w14:textId="77777777">
        <w:trPr>
          <w:cantSplit/>
          <w:jc w:val="center"/>
        </w:trPr>
        <w:tc>
          <w:tcPr>
            <w:tcW w:w="172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6BA0E33" w14:textId="77777777" w:rsidR="00E34288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316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ABF83A8" w14:textId="77777777" w:rsidR="00E34288" w:rsidRDefault="00000000">
            <w:pPr>
              <w:jc w:val="center"/>
            </w:pPr>
            <w:r>
              <w:rPr>
                <w:sz w:val="19"/>
              </w:rPr>
              <w:t>1,431,655,764</w:t>
            </w:r>
          </w:p>
        </w:tc>
        <w:tc>
          <w:tcPr>
            <w:tcW w:w="432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02ABFAA" w14:textId="77777777" w:rsidR="00E34288" w:rsidRDefault="00000000">
            <w:r>
              <w:rPr>
                <w:sz w:val="19"/>
              </w:rPr>
              <w:t>About 1.43 billion rows</w:t>
            </w:r>
          </w:p>
        </w:tc>
      </w:tr>
      <w:tr w:rsidR="00E34288" w14:paraId="5979BF42" w14:textId="77777777">
        <w:trPr>
          <w:cantSplit/>
          <w:jc w:val="center"/>
        </w:trPr>
        <w:tc>
          <w:tcPr>
            <w:tcW w:w="172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845B0A8" w14:textId="77777777" w:rsidR="00E34288" w:rsidRDefault="00000000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16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496D468" w14:textId="77777777" w:rsidR="00E34288" w:rsidRDefault="00000000">
            <w:pPr>
              <w:jc w:val="center"/>
            </w:pPr>
            <w:r>
              <w:rPr>
                <w:sz w:val="19"/>
              </w:rPr>
              <w:t>1,466,015,503,700</w:t>
            </w:r>
          </w:p>
        </w:tc>
        <w:tc>
          <w:tcPr>
            <w:tcW w:w="432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95F562C" w14:textId="77777777" w:rsidR="00E34288" w:rsidRDefault="00000000">
            <w:r>
              <w:rPr>
                <w:sz w:val="19"/>
              </w:rPr>
              <w:t>About 1.47 trillion rows</w:t>
            </w:r>
          </w:p>
        </w:tc>
      </w:tr>
    </w:tbl>
    <w:p w14:paraId="2EAB28C2" w14:textId="77777777" w:rsidR="00E34288" w:rsidRDefault="00000000">
      <w:r>
        <w:rPr>
          <w:b/>
        </w:rPr>
        <w:t xml:space="preserve">Unbounded lifetime. </w:t>
      </w:r>
      <w:r>
        <w:t xml:space="preserve">If there is no maximum sequence length, then the set of possible percept histories is </w:t>
      </w:r>
      <w:r>
        <w:rPr>
          <w:b/>
        </w:rPr>
        <w:t>countably infinite</w:t>
      </w:r>
      <w:r>
        <w:t>: there are finitely many sequences at each fixed length, but infinitely many possible lengths.</w:t>
      </w:r>
    </w:p>
    <w:p>
      <w:pPr>
        <w:spacing w:after="0"/>
      </w:pPr>
      <w:r>
        <w:br w:type="page"/>
      </w:r>
    </w:p>
    <w:p w14:paraId="774775E3" w14:textId="77777777" w:rsidR="00E34288" w:rsidRDefault="00000000">
      <w:pPr>
        <w:pStyle w:val="Heading1"/>
      </w:pPr>
      <w:r>
        <w:t>4. External characterization versus implementation</w:t>
      </w:r>
    </w:p>
    <w:p w14:paraId="0B827663" w14:textId="77777777" w:rsidR="00E34288" w:rsidRDefault="00000000">
      <w:r>
        <w:t>The lookup table and the agent program can define exactly the same input-output behavior, but they represent that behavior in fundamentally different ways.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600"/>
        <w:gridCol w:w="3600"/>
      </w:tblGrid>
      <w:tr w:rsidR="00E34288" w14:paraId="57ABED4E" w14:textId="77777777">
        <w:trPr>
          <w:cantSplit/>
          <w:jc w:val="center"/>
        </w:trPr>
        <w:tc>
          <w:tcPr>
            <w:tcW w:w="3331" w:type="dxa"/>
            <w:shd w:val="clear" w:color="auto" w:fill="DDE8F4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7045D41" w14:textId="77777777" w:rsidR="00E34288" w:rsidRDefault="00000000">
            <w:r>
              <w:rPr>
                <w:b/>
                <w:color w:val="123463"/>
                <w:sz w:val="19"/>
              </w:rPr>
              <w:t>Property</w:t>
            </w:r>
          </w:p>
        </w:tc>
        <w:tc>
          <w:tcPr>
            <w:tcW w:w="3331" w:type="dxa"/>
            <w:shd w:val="clear" w:color="auto" w:fill="DDE8F4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D7A3D4F" w14:textId="77777777" w:rsidR="00E34288" w:rsidRDefault="00000000">
            <w:r>
              <w:rPr>
                <w:b/>
                <w:color w:val="123463"/>
                <w:sz w:val="19"/>
              </w:rPr>
              <w:t>Complete table</w:t>
            </w:r>
          </w:p>
        </w:tc>
        <w:tc>
          <w:tcPr>
            <w:tcW w:w="3331" w:type="dxa"/>
            <w:shd w:val="clear" w:color="auto" w:fill="DDE8F4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58EF078" w14:textId="77777777" w:rsidR="00E34288" w:rsidRDefault="00000000">
            <w:r>
              <w:rPr>
                <w:b/>
                <w:color w:val="123463"/>
                <w:sz w:val="19"/>
              </w:rPr>
              <w:t>Compact rule</w:t>
            </w:r>
          </w:p>
        </w:tc>
      </w:tr>
      <w:tr w:rsidR="00E34288" w14:paraId="6108625F" w14:textId="77777777">
        <w:trPr>
          <w:cantSplit/>
          <w:jc w:val="center"/>
        </w:trPr>
        <w:tc>
          <w:tcPr>
            <w:tcW w:w="208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BBAEA3" w14:textId="77777777" w:rsidR="00E34288" w:rsidRDefault="00000000">
            <w:r>
              <w:rPr>
                <w:b/>
                <w:sz w:val="18"/>
              </w:rPr>
              <w:t>Representation</w:t>
            </w:r>
          </w:p>
        </w:tc>
        <w:tc>
          <w:tcPr>
            <w:tcW w:w="360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27933C" w14:textId="77777777" w:rsidR="00E34288" w:rsidRDefault="00000000">
            <w:r>
              <w:rPr>
                <w:sz w:val="18"/>
              </w:rPr>
              <w:t>Explicit action for every possible percept sequence</w:t>
            </w:r>
          </w:p>
        </w:tc>
        <w:tc>
          <w:tcPr>
            <w:tcW w:w="360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482D8D" w14:textId="77777777" w:rsidR="00E34288" w:rsidRDefault="00000000">
            <w:r>
              <w:rPr>
                <w:sz w:val="18"/>
              </w:rPr>
              <w:t>Decision rule computes the action from the current percept</w:t>
            </w:r>
          </w:p>
        </w:tc>
      </w:tr>
      <w:tr w:rsidR="00E34288" w14:paraId="348CAFB8" w14:textId="77777777">
        <w:trPr>
          <w:cantSplit/>
          <w:jc w:val="center"/>
        </w:trPr>
        <w:tc>
          <w:tcPr>
            <w:tcW w:w="208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B2C2F0" w14:textId="77777777" w:rsidR="00E34288" w:rsidRDefault="00000000">
            <w:r>
              <w:rPr>
                <w:b/>
                <w:sz w:val="18"/>
              </w:rPr>
              <w:t>Storage</w:t>
            </w:r>
          </w:p>
        </w:tc>
        <w:tc>
          <w:tcPr>
            <w:tcW w:w="360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ED1E4B" w14:textId="77777777" w:rsidR="00E34288" w:rsidRDefault="00000000">
            <w:r>
              <w:rPr>
                <w:sz w:val="18"/>
              </w:rPr>
              <w:t>Θ(4</w:t>
            </w:r>
            <w:r>
              <w:rPr>
                <w:sz w:val="18"/>
                <w:vertAlign w:val="superscript"/>
              </w:rPr>
              <w:t>T</w:t>
            </w:r>
            <w:r>
              <w:rPr>
                <w:sz w:val="18"/>
              </w:rPr>
              <w:t>) action entries</w:t>
            </w:r>
          </w:p>
        </w:tc>
        <w:tc>
          <w:tcPr>
            <w:tcW w:w="360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B00A6D" w14:textId="77777777" w:rsidR="00E34288" w:rsidRDefault="00000000">
            <w:r>
              <w:rPr>
                <w:sz w:val="18"/>
              </w:rPr>
              <w:t>Θ(1) state; no percept history required</w:t>
            </w:r>
          </w:p>
        </w:tc>
      </w:tr>
      <w:tr w:rsidR="00E34288" w14:paraId="6ED4C716" w14:textId="77777777">
        <w:trPr>
          <w:cantSplit/>
          <w:jc w:val="center"/>
        </w:trPr>
        <w:tc>
          <w:tcPr>
            <w:tcW w:w="208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3E018F" w14:textId="77777777" w:rsidR="00E34288" w:rsidRDefault="00000000">
            <w:r>
              <w:rPr>
                <w:b/>
                <w:sz w:val="18"/>
              </w:rPr>
              <w:t>Decision work</w:t>
            </w:r>
          </w:p>
        </w:tc>
        <w:tc>
          <w:tcPr>
            <w:tcW w:w="360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CE8B04" w14:textId="77777777" w:rsidR="00E34288" w:rsidRDefault="00000000">
            <w:r>
              <w:rPr>
                <w:sz w:val="18"/>
              </w:rPr>
              <w:t>Lookup/indexing into a very large mapping</w:t>
            </w:r>
          </w:p>
        </w:tc>
        <w:tc>
          <w:tcPr>
            <w:tcW w:w="360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B7D78A" w14:textId="77777777" w:rsidR="00E34288" w:rsidRDefault="00000000">
            <w:r>
              <w:rPr>
                <w:sz w:val="18"/>
              </w:rPr>
              <w:t>At most two logical comparisons in the simple rule</w:t>
            </w:r>
          </w:p>
        </w:tc>
      </w:tr>
      <w:tr w:rsidR="00E34288" w14:paraId="498AA4E1" w14:textId="77777777">
        <w:trPr>
          <w:cantSplit/>
          <w:jc w:val="center"/>
        </w:trPr>
        <w:tc>
          <w:tcPr>
            <w:tcW w:w="208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E67DDE" w14:textId="77777777" w:rsidR="00E34288" w:rsidRDefault="00000000">
            <w:r>
              <w:rPr>
                <w:b/>
                <w:sz w:val="18"/>
              </w:rPr>
              <w:t>Generalization</w:t>
            </w:r>
          </w:p>
        </w:tc>
        <w:tc>
          <w:tcPr>
            <w:tcW w:w="360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77969F" w14:textId="77777777" w:rsidR="00E34288" w:rsidRDefault="00000000">
            <w:r>
              <w:rPr>
                <w:sz w:val="18"/>
              </w:rPr>
              <w:t>None: behavior is enumerated case by case</w:t>
            </w:r>
          </w:p>
        </w:tc>
        <w:tc>
          <w:tcPr>
            <w:tcW w:w="360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DA3E09" w14:textId="77777777" w:rsidR="00E34288" w:rsidRDefault="00000000">
            <w:r>
              <w:rPr>
                <w:sz w:val="18"/>
              </w:rPr>
              <w:t>Yes: one rule covers arbitrarily many histories</w:t>
            </w:r>
          </w:p>
        </w:tc>
      </w:tr>
      <w:tr w:rsidR="00E34288" w14:paraId="4EEC8CEE" w14:textId="77777777">
        <w:trPr>
          <w:cantSplit/>
          <w:jc w:val="center"/>
        </w:trPr>
        <w:tc>
          <w:tcPr>
            <w:tcW w:w="208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E41BC2" w14:textId="77777777" w:rsidR="00E34288" w:rsidRDefault="00000000">
            <w:r>
              <w:rPr>
                <w:b/>
                <w:sz w:val="18"/>
              </w:rPr>
              <w:t>Design meaning</w:t>
            </w:r>
          </w:p>
        </w:tc>
        <w:tc>
          <w:tcPr>
            <w:tcW w:w="360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09E161" w14:textId="77777777" w:rsidR="00E34288" w:rsidRDefault="00000000">
            <w:r>
              <w:rPr>
                <w:sz w:val="18"/>
              </w:rPr>
              <w:t>External characterization of the agent function</w:t>
            </w:r>
          </w:p>
        </w:tc>
        <w:tc>
          <w:tcPr>
            <w:tcW w:w="360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182267" w14:textId="77777777" w:rsidR="00E34288" w:rsidRDefault="00000000">
            <w:r>
              <w:rPr>
                <w:sz w:val="18"/>
              </w:rPr>
              <w:t>Executable mechanism that realizes the function</w:t>
            </w:r>
          </w:p>
        </w:tc>
      </w:tr>
    </w:tbl>
    <w:p w14:paraId="63E75330" w14:textId="77777777" w:rsidR="00E34288" w:rsidRDefault="00000000">
      <w:pPr>
        <w:pStyle w:val="Heading1"/>
      </w:pPr>
      <w:r>
        <w:lastRenderedPageBreak/>
        <w:t>5. The compact agent rule</w:t>
      </w:r>
    </w:p>
    <w:p w14:paraId="3C6F3247" w14:textId="77777777" w:rsidR="00E34288" w:rsidRDefault="00000000">
      <w:pPr>
        <w:keepNext/>
      </w:pPr>
      <w:r>
        <w:t>The rule under the left figure can be expressed as a three-way decision on only the current percept: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34288" w14:paraId="473A719F" w14:textId="77777777">
        <w:trPr>
          <w:cantSplit/>
          <w:jc w:val="center"/>
        </w:trPr>
        <w:tc>
          <w:tcPr>
            <w:tcW w:w="9994" w:type="dxa"/>
            <w:shd w:val="clear" w:color="auto" w:fill="F2F4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0E89F78" w14:textId="77777777" w:rsidR="00E34288" w:rsidRDefault="00000000">
            <w:r>
              <w:rPr>
                <w:rFonts w:ascii="Consolas" w:hAnsi="Consolas"/>
                <w:sz w:val="20"/>
              </w:rPr>
              <w:t>if condition = Dirty:   action = Suck</w:t>
              <w:br/>
              <w:t>else if location = A:   action = Right</w:t>
              <w:br/>
              <w:t>else:                   action = Left</w:t>
              <w:br/>
            </w:r>
          </w:p>
        </w:tc>
      </w:tr>
    </w:tbl>
    <w:p w14:paraId="2825AEFD" w14:textId="77777777" w:rsidR="00E34288" w:rsidRDefault="00000000">
      <w:r>
        <w:t>This can be viewed as a function of the current percept alone:</w:t>
      </w:r>
    </w:p>
    <w:p w14:paraId="48B6EBAA" w14:textId="77777777" w:rsidR="00E34288" w:rsidRDefault="00000000">
      <w:pPr>
        <w:jc w:val="center"/>
      </w:pPr>
      <w:r>
        <w:rPr>
          <w:rFonts w:ascii="Cambria Math" w:hAnsi="Cambria Math"/>
          <w:b/>
          <w:color w:val="123463"/>
          <w:sz w:val="26"/>
        </w:rPr>
        <w:t>f(location, condition) → action</w:t>
      </w:r>
    </w:p>
    <w:p w14:paraId="2C7BA4BD" w14:textId="77777777" w:rsidR="00E34288" w:rsidRDefault="00000000">
      <w:r>
        <w:t>The key implementation facts are:</w:t>
      </w:r>
    </w:p>
    <w:p w14:paraId="1E6BA12E" w14:textId="77777777" w:rsidR="00E34288" w:rsidRDefault="00000000">
      <w:pPr>
        <w:ind w:left="317"/>
      </w:pPr>
      <w:r>
        <w:rPr>
          <w:b/>
        </w:rPr>
        <w:t xml:space="preserve">• </w:t>
      </w:r>
      <w:r>
        <w:t>Memory complexity: O(1). The program does not need to store the previous percept sequence.</w:t>
      </w:r>
    </w:p>
    <w:p w14:paraId="2213363B" w14:textId="77777777" w:rsidR="00E34288" w:rsidRDefault="00000000">
      <w:pPr>
        <w:ind w:left="317"/>
      </w:pPr>
      <w:r>
        <w:rPr>
          <w:b/>
        </w:rPr>
        <w:t xml:space="preserve">• </w:t>
      </w:r>
      <w:r>
        <w:t>Decision complexity: O(1) per step. The number of comparisons does not increase with T.</w:t>
      </w:r>
    </w:p>
    <w:p w14:paraId="56144B13" w14:textId="77777777" w:rsidR="00E34288" w:rsidRDefault="00000000">
      <w:pPr>
        <w:ind w:left="317"/>
      </w:pPr>
      <w:r>
        <w:rPr>
          <w:b/>
        </w:rPr>
        <w:t xml:space="preserve">• </w:t>
      </w:r>
      <w:r>
        <w:t>Behavioral coverage: the same rule determines an action after any history length because the decision depends only on the current location and cleanliness status.</w:t>
      </w:r>
    </w:p>
    <w:p>
      <w:pPr>
        <w:ind w:left="317"/>
      </w:pPr>
      <w:r>
        <w:rPr>
          <w:b/>
          <w:color w:val="5C6A7B"/>
          <w:sz w:val="19"/>
        </w:rPr>
        <w:t xml:space="preserve">Note on O versus Θ. </w:t>
      </w:r>
      <w:r>
        <w:rPr>
          <w:color w:val="5C6A7B"/>
          <w:sz w:val="19"/>
        </w:rPr>
        <w:t>O(1) says the cost never exceeds a constant — an upper bound only. Θ(1) is the stronger claim that the cost is constant from both directions. Both are correct for this rule; the comparison table in section 4 states the tighter Θ form.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34288" w14:paraId="4881EC9D" w14:textId="77777777">
        <w:trPr>
          <w:cantSplit/>
          <w:jc w:val="center"/>
        </w:trPr>
        <w:tc>
          <w:tcPr>
            <w:tcW w:w="9994" w:type="dxa"/>
            <w:shd w:val="clear" w:color="auto" w:fill="FFF6D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910958" w14:textId="77777777" w:rsidR="00E34288" w:rsidRDefault="00000000">
            <w:r>
              <w:rPr>
                <w:b/>
                <w:color w:val="123463"/>
                <w:sz w:val="22"/>
              </w:rPr>
              <w:t>Why this distinction matters for agent design</w:t>
            </w:r>
          </w:p>
          <w:p w14:paraId="4E204EF5" w14:textId="77777777" w:rsidR="00E34288" w:rsidRDefault="00000000">
            <w:pPr>
              <w:spacing w:after="0"/>
            </w:pPr>
            <w:r>
              <w:t>An agent function is a mathematical mapping from percept histories to actions. A table can describe that mapping extensionally by listing every case. An agent program realizes the same mapping intensionally, using a compact procedure. The two objects can be behaviorally equivalent while having radically different representation and computational cost.</w:t>
            </w:r>
          </w:p>
        </w:tc>
      </w:tr>
    </w:tbl>
    <w:p w14:paraId="3B5F142F" w14:textId="77777777" w:rsidR="00E34288" w:rsidRDefault="00000000">
      <w:pPr>
        <w:pStyle w:val="Heading1"/>
      </w:pPr>
      <w:r>
        <w:t>6. A useful ratio: table description versus program description</w:t>
      </w:r>
    </w:p>
    <w:p w14:paraId="49961E0C" w14:textId="77777777" w:rsidR="00E34288" w:rsidRDefault="00000000">
      <w:r>
        <w:t>Suppose one action entry requires a fixed amount of storage c. Then the table requires approximately</w:t>
      </w:r>
    </w:p>
    <w:p w14:paraId="1F0B9D6F" w14:textId="77777777" w:rsidR="00E34288" w:rsidRDefault="00000000">
      <w:pPr>
        <w:jc w:val="center"/>
      </w:pPr>
      <w:r>
        <w:rPr>
          <w:rFonts w:ascii="Cambria Math" w:hAnsi="Cambria Math"/>
          <w:b/>
          <w:color w:val="123463"/>
          <w:sz w:val="25"/>
        </w:rPr>
        <w:t>S</w:t>
      </w:r>
      <w:r>
        <w:rPr>
          <w:rFonts w:ascii="Cambria Math" w:hAnsi="Cambria Math"/>
          <w:b/>
          <w:color w:val="123463"/>
          <w:sz w:val="25"/>
          <w:vertAlign w:val="subscript"/>
        </w:rPr>
        <w:t>table</w:t>
      </w:r>
      <w:r>
        <w:rPr>
          <w:rFonts w:ascii="Cambria Math" w:hAnsi="Cambria Math"/>
          <w:b/>
          <w:color w:val="123463"/>
          <w:sz w:val="25"/>
        </w:rPr>
        <w:t>(T) = c(4</w:t>
      </w:r>
      <w:r>
        <w:rPr>
          <w:rFonts w:ascii="Cambria Math" w:hAnsi="Cambria Math"/>
          <w:b/>
          <w:color w:val="123463"/>
          <w:sz w:val="25"/>
          <w:vertAlign w:val="superscript"/>
        </w:rPr>
        <w:t>T+1</w:t>
      </w:r>
      <w:r>
        <w:rPr>
          <w:rFonts w:ascii="Cambria Math" w:hAnsi="Cambria Math"/>
          <w:b/>
          <w:color w:val="123463"/>
          <w:sz w:val="25"/>
        </w:rPr>
        <w:t xml:space="preserve"> − 4)/3 = Θ(4</w:t>
      </w:r>
      <w:r>
        <w:rPr>
          <w:rFonts w:ascii="Cambria Math" w:hAnsi="Cambria Math"/>
          <w:b/>
          <w:color w:val="123463"/>
          <w:sz w:val="25"/>
          <w:vertAlign w:val="superscript"/>
        </w:rPr>
        <w:t>T</w:t>
      </w:r>
      <w:r>
        <w:rPr>
          <w:rFonts w:ascii="Cambria Math" w:hAnsi="Cambria Math"/>
          <w:b/>
          <w:color w:val="123463"/>
          <w:sz w:val="25"/>
        </w:rPr>
        <w:t>)</w:t>
      </w:r>
    </w:p>
    <w:p w14:paraId="1BA37475" w14:textId="77777777" w:rsidR="00E34288" w:rsidRDefault="00000000">
      <w:r>
        <w:t>while the compact rule requires a fixed program size independent of T:</w:t>
      </w:r>
    </w:p>
    <w:p w14:paraId="68B76AC4" w14:textId="77777777" w:rsidR="00E34288" w:rsidRDefault="00000000">
      <w:pPr>
        <w:jc w:val="center"/>
      </w:pPr>
      <w:r>
        <w:rPr>
          <w:rFonts w:ascii="Cambria Math" w:hAnsi="Cambria Math"/>
          <w:b/>
          <w:color w:val="1F7A48"/>
          <w:sz w:val="26"/>
        </w:rPr>
        <w:t>S</w:t>
      </w:r>
      <w:r>
        <w:rPr>
          <w:rFonts w:ascii="Cambria Math" w:hAnsi="Cambria Math"/>
          <w:b/>
          <w:color w:val="1F7A48"/>
          <w:sz w:val="26"/>
          <w:vertAlign w:val="subscript"/>
        </w:rPr>
        <w:t>program</w:t>
      </w:r>
      <w:r>
        <w:rPr>
          <w:rFonts w:ascii="Cambria Math" w:hAnsi="Cambria Math"/>
          <w:b/>
          <w:color w:val="1F7A48"/>
          <w:sz w:val="26"/>
        </w:rPr>
        <w:t>(T) = Θ(1)</w:t>
      </w:r>
    </w:p>
    <w:p w14:paraId="5F87DF3B" w14:textId="77777777" w:rsidR="00E34288" w:rsidRDefault="00000000">
      <w:r>
        <w:t>Thus the representation gap grows exponentially with the agent lifetime. The table is useful as a formal specification of behavior, but it is generally a poor implementation strategy.</w:t>
      </w:r>
    </w:p>
    <w:p w14:paraId="7A8BC833" w14:textId="77777777" w:rsidR="00E34288" w:rsidRDefault="00000000">
      <w:pPr>
        <w:pStyle w:val="Heading1"/>
      </w:pPr>
      <w:r>
        <w:t>7. Bottom line</w:t>
      </w:r>
    </w:p>
    <w:p w14:paraId="5F8C50B3" w14:textId="77777777" w:rsidR="00E34288" w:rsidRDefault="00000000">
      <w:r>
        <w:rPr>
          <w:b/>
        </w:rPr>
        <w:t xml:space="preserve">Mathematically: </w:t>
      </w:r>
      <w:r>
        <w:t xml:space="preserve">the number of table rows through time T is </w:t>
      </w:r>
      <w:r>
        <w:rPr>
          <w:rFonts w:ascii="Cambria Math" w:hAnsi="Cambria Math"/>
          <w:b/>
        </w:rPr>
        <w:t>(4</w:t>
      </w:r>
      <w:r>
        <w:rPr>
          <w:rFonts w:ascii="Cambria Math" w:hAnsi="Cambria Math"/>
          <w:b/>
          <w:vertAlign w:val="superscript"/>
        </w:rPr>
        <w:t>T+1</w:t>
      </w:r>
      <w:r>
        <w:rPr>
          <w:rFonts w:ascii="Cambria Math" w:hAnsi="Cambria Math"/>
          <w:b/>
        </w:rPr>
        <w:t xml:space="preserve"> − 4)/3</w:t>
      </w:r>
      <w:r>
        <w:t xml:space="preserve">, which is </w:t>
      </w:r>
      <w:r>
        <w:rPr>
          <w:rFonts w:ascii="Cambria Math" w:hAnsi="Cambria Math"/>
          <w:b/>
        </w:rPr>
        <w:t>Θ(4</w:t>
      </w:r>
      <w:r>
        <w:rPr>
          <w:rFonts w:ascii="Cambria Math" w:hAnsi="Cambria Math"/>
          <w:b/>
          <w:vertAlign w:val="superscript"/>
        </w:rPr>
        <w:t>T</w:t>
      </w:r>
      <w:r>
        <w:rPr>
          <w:rFonts w:ascii="Cambria Math" w:hAnsi="Cambria Math"/>
          <w:b/>
        </w:rPr>
        <w:t>)</w:t>
      </w:r>
      <w:r>
        <w:t>.</w:t>
      </w:r>
    </w:p>
    <w:p w14:paraId="2500CCC1" w14:textId="77777777" w:rsidR="00E34288" w:rsidRDefault="00000000">
      <w:r>
        <w:rPr>
          <w:b/>
        </w:rPr>
        <w:t xml:space="preserve">Computationally: </w:t>
      </w:r>
      <w:r>
        <w:t>the simple vacuum rule uses constant memory and constant work per decision.</w:t>
      </w:r>
    </w:p>
    <w:p w14:paraId="2ABBC6E8" w14:textId="77777777" w:rsidR="00E34288" w:rsidRDefault="00000000">
      <w:r>
        <w:rPr>
          <w:b/>
        </w:rPr>
        <w:t xml:space="preserve">Conceptually: </w:t>
      </w:r>
      <w:r>
        <w:t>the table tells us what action the agent function assigns to every possible history; the agent program tells us how to compute those actions compactly.</w:t>
      </w:r>
    </w:p>
    <w:sectPr w:rsidR="00E34288" w:rsidSect="00034616">
      <w:footerReference w:type="default" r:id="rId8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B5CD2" w14:textId="77777777" w:rsidR="004D6382" w:rsidRDefault="004D6382">
      <w:pPr>
        <w:spacing w:after="0" w:line="240" w:lineRule="auto"/>
      </w:pPr>
      <w:r>
        <w:separator/>
      </w:r>
    </w:p>
  </w:endnote>
  <w:endnote w:type="continuationSeparator" w:id="0">
    <w:p w14:paraId="6D0F05B9" w14:textId="77777777" w:rsidR="004D6382" w:rsidRDefault="004D6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6B49" w14:textId="77777777" w:rsidR="00E34288" w:rsidRDefault="00000000">
    <w:pPr>
      <w:pStyle w:val="Footer"/>
      <w:jc w:val="right"/>
    </w:pPr>
    <w:r>
      <w:rPr>
        <w:color w:val="5C6A7B"/>
        <w:sz w:val="16"/>
      </w:rPr>
      <w:t>Vacuum World - Mathematical Breakdown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E4DDC" w14:textId="77777777" w:rsidR="004D6382" w:rsidRDefault="004D6382">
      <w:pPr>
        <w:spacing w:after="0" w:line="240" w:lineRule="auto"/>
      </w:pPr>
      <w:r>
        <w:separator/>
      </w:r>
    </w:p>
  </w:footnote>
  <w:footnote w:type="continuationSeparator" w:id="0">
    <w:p w14:paraId="30631EBF" w14:textId="77777777" w:rsidR="004D6382" w:rsidRDefault="004D63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490897">
    <w:abstractNumId w:val="8"/>
  </w:num>
  <w:num w:numId="2" w16cid:durableId="1564946594">
    <w:abstractNumId w:val="6"/>
  </w:num>
  <w:num w:numId="3" w16cid:durableId="748162944">
    <w:abstractNumId w:val="5"/>
  </w:num>
  <w:num w:numId="4" w16cid:durableId="1463577919">
    <w:abstractNumId w:val="4"/>
  </w:num>
  <w:num w:numId="5" w16cid:durableId="1050613322">
    <w:abstractNumId w:val="7"/>
  </w:num>
  <w:num w:numId="6" w16cid:durableId="1979796836">
    <w:abstractNumId w:val="3"/>
  </w:num>
  <w:num w:numId="7" w16cid:durableId="1210066622">
    <w:abstractNumId w:val="2"/>
  </w:num>
  <w:num w:numId="8" w16cid:durableId="1944801962">
    <w:abstractNumId w:val="1"/>
  </w:num>
  <w:num w:numId="9" w16cid:durableId="125234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3B9"/>
    <w:rsid w:val="004D6382"/>
    <w:rsid w:val="004E271B"/>
    <w:rsid w:val="00AA1D8D"/>
    <w:rsid w:val="00B47730"/>
    <w:rsid w:val="00CB0664"/>
    <w:rsid w:val="00E342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9CA12E"/>
  <w14:defaultImageDpi w14:val="300"/>
  <w15:docId w15:val="{FFE19EC9-B644-4306-A342-591EE941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234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853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234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Label">
    <w:name w:val="Callout Label"/>
    <w:pPr>
      <w:spacing w:after="40"/>
    </w:pPr>
    <w:rPr>
      <w:rFonts w:ascii="Aptos" w:hAnsi="Aptos"/>
      <w:b/>
      <w:color w:val="285387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Vacuum World Agent Function - Mathematical Breakdown</dc:title>
  <dc:subject>Mathematical analysis of percept-sequence table growth and compact agent implementation</dc:subject>
  <dc:creator>OpenAI</dc:creator>
  <cp:keywords/>
  <dc:description>generated by python-docx</dc:description>
  <cp:lastModifiedBy>Rios, Juan</cp:lastModifiedBy>
  <cp:revision>2</cp:revision>
  <dcterms:created xsi:type="dcterms:W3CDTF">2013-12-23T23:15:00Z</dcterms:created>
  <dcterms:modified xsi:type="dcterms:W3CDTF">2026-09-01T22:13:00Z</dcterms:modified>
  <cp:category/>
</cp:coreProperties>
</file>