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 xml:space="preserve">SecAgent </w:t>
      </w:r>
      <w:r>
        <w:rPr/>
        <w:t>比赛提交材料清单</w:t>
      </w:r>
    </w:p>
    <w:p>
      <w:pPr>
        <w:pStyle w:val="BodyText"/>
        <w:bidi w:val="0"/>
        <w:jc w:val="start"/>
        <w:rPr/>
      </w:pPr>
      <w:r>
        <w:rPr/>
        <w:t xml:space="preserve">本文档用于组织参赛作品的最终提交包。它把题目要求中的三类材料拆成可核验的文件，并明确哪些内容已经存在于仓库、哪些内容需要在最终比赛环境中补充。文档本身是 </w:t>
      </w:r>
      <w:r>
        <w:rPr/>
        <w:t xml:space="preserve">Markdown </w:t>
      </w:r>
      <w:r>
        <w:rPr/>
        <w:t xml:space="preserve">材料，可在提交前转换为 </w:t>
      </w:r>
      <w:r>
        <w:rPr/>
        <w:t xml:space="preserve">PDF </w:t>
      </w:r>
      <w:r>
        <w:rPr/>
        <w:t>或纳入压缩包。</w:t>
      </w:r>
    </w:p>
    <w:p>
      <w:pPr>
        <w:pStyle w:val="Heading2"/>
        <w:bidi w:val="0"/>
        <w:jc w:val="start"/>
        <w:rPr/>
      </w:pPr>
      <w:r>
        <w:rPr/>
        <w:t>一、题目要求与提交结构</w:t>
      </w:r>
    </w:p>
    <w:p>
      <w:pPr>
        <w:pStyle w:val="BodyText"/>
        <w:bidi w:val="0"/>
        <w:jc w:val="start"/>
        <w:rPr/>
      </w:pPr>
      <w:r>
        <w:rPr/>
        <w:t>题目要求的作品至少包括以下三部分：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trong"/>
        </w:rPr>
        <w:t>程序材料</w:t>
      </w:r>
      <w:r>
        <w:rPr/>
        <w:t xml:space="preserve">：智能体编译前源代码、一键部署方案或完整部署手册、在线可测访问地址。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trong"/>
        </w:rPr>
        <w:t>文档材料</w:t>
      </w:r>
      <w:r>
        <w:rPr/>
        <w:t xml:space="preserve">：方案设计文档、开发文档、测试文档、用户手册、技术报告、方案介绍 </w:t>
      </w:r>
      <w:r>
        <w:rPr/>
        <w:t>PPT</w:t>
      </w:r>
      <w:r>
        <w:rPr/>
        <w:t xml:space="preserve">、阐述演示视频等。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>
          <w:rStyle w:val="Strong"/>
        </w:rPr>
        <w:t>声明函</w:t>
      </w:r>
      <w:r>
        <w:rPr/>
        <w:t xml:space="preserve">：参赛方案原创性及保密性声明。 </w:t>
      </w:r>
    </w:p>
    <w:p>
      <w:pPr>
        <w:pStyle w:val="BodyText"/>
        <w:bidi w:val="0"/>
        <w:jc w:val="start"/>
        <w:rPr/>
      </w:pPr>
      <w:r>
        <w:rPr/>
        <w:t>建议最终目录如下：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secagent-submission/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source/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repository-source.tar.gz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SHA256SUMS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VERSION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deployment/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deployment-manual.md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docker-compose.yml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Dockerfile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entrypoint.sh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offline-dependencies.txt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image-digest.txt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online-test/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access-url.md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smoke-report.md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screenshots/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documents/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solution-design.md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development-guide.md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test-report.md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user-manual.md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technical-report.md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ppt-outline.md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demo-script.md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originality-confidentiality.md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media/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presentation.pptx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demonstration.mp4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checksums/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SHA256SUMS</w:t>
      </w:r>
    </w:p>
    <w:p>
      <w:pPr>
        <w:pStyle w:val="BodyText"/>
        <w:bidi w:val="0"/>
        <w:jc w:val="start"/>
        <w:rPr/>
      </w:pPr>
      <w:r>
        <w:rPr/>
        <w:t>仓库中的对应材料入口为：</w:t>
      </w:r>
    </w:p>
    <w:tbl>
      <w:tblPr>
        <w:tblW w:w="145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52"/>
        <w:gridCol w:w="6145"/>
        <w:gridCol w:w="2395"/>
        <w:gridCol w:w="3710"/>
      </w:tblGrid>
      <w:tr>
        <w:trPr>
          <w:tblHeader w:val="true"/>
        </w:trPr>
        <w:tc>
          <w:tcPr>
            <w:tcW w:w="2252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提交项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仓库材料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状态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最终动作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源代码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packages/secagent/</w:t>
            </w:r>
            <w:r>
              <w:rPr/>
              <w:t>、</w:t>
            </w:r>
            <w:r>
              <w:rPr>
                <w:rStyle w:val="SourceText"/>
              </w:rPr>
              <w:t>packages/coding-agent/</w:t>
            </w:r>
            <w:r>
              <w:rPr/>
              <w:t>、</w:t>
            </w:r>
            <w:r>
              <w:rPr>
                <w:rStyle w:val="SourceText"/>
              </w:rPr>
              <w:t>packages/web-ui/</w:t>
            </w:r>
            <w:r>
              <w:rPr/>
              <w:t xml:space="preserve"> </w:t>
            </w:r>
            <w:r>
              <w:rPr/>
              <w:t xml:space="preserve">及其他 </w:t>
            </w:r>
            <w:r>
              <w:rPr/>
              <w:t xml:space="preserve">workspace </w:t>
            </w:r>
            <w:r>
              <w:rPr/>
              <w:t>包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已实现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固定提交号，导出干净源代码并做密钥扫描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一键部署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packages/secagent/templates/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已实现</w:t>
            </w:r>
            <w:r>
              <w:rPr/>
              <w:t>/</w:t>
            </w:r>
            <w:r>
              <w:rPr/>
              <w:t>待赛前补测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构建最终镜像，记录镜像摘要并执行容器 </w:t>
            </w:r>
            <w:r>
              <w:rPr/>
              <w:t>smoke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完整部署手册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2">
              <w:r>
                <w:rPr>
                  <w:rStyle w:val="Hyperlink"/>
                </w:rPr>
                <w:t>部署手册</w:t>
              </w:r>
            </w:hyperlink>
          </w:p>
        </w:tc>
        <w:tc>
          <w:tcPr>
            <w:tcW w:w="2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已实现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根据主办方网络、模型网关和工具镜像补充环境值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在线可测地址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本地仓库无法提供</w:t>
            </w:r>
          </w:p>
        </w:tc>
        <w:tc>
          <w:tcPr>
            <w:tcW w:w="2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需填写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部署后填写 </w:t>
            </w:r>
            <w:r>
              <w:rPr/>
              <w:t>URL</w:t>
            </w:r>
            <w:r>
              <w:rPr/>
              <w:t>、访问方式、有效期、限流和联系人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方案设计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3">
              <w:r>
                <w:rPr>
                  <w:rStyle w:val="Hyperlink"/>
                </w:rPr>
                <w:t>方案设计</w:t>
              </w:r>
            </w:hyperlink>
          </w:p>
        </w:tc>
        <w:tc>
          <w:tcPr>
            <w:tcW w:w="2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已实现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与最终版本号、比赛名称和队伍信息核对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开发文档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4">
              <w:r>
                <w:rPr>
                  <w:rStyle w:val="Hyperlink"/>
                </w:rPr>
                <w:t>开发文档</w:t>
              </w:r>
            </w:hyperlink>
          </w:p>
        </w:tc>
        <w:tc>
          <w:tcPr>
            <w:tcW w:w="2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已实现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附上构建日志和开发环境版本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测试文档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5">
              <w:r>
                <w:rPr>
                  <w:rStyle w:val="Hyperlink"/>
                </w:rPr>
                <w:t>测试报告</w:t>
              </w:r>
            </w:hyperlink>
          </w:p>
        </w:tc>
        <w:tc>
          <w:tcPr>
            <w:tcW w:w="2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已实现</w:t>
            </w:r>
            <w:r>
              <w:rPr/>
              <w:t>/</w:t>
            </w:r>
            <w:r>
              <w:rPr/>
              <w:t>待赛前补测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填入最终测试日期、日志和镜像版本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用户手册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6">
              <w:r>
                <w:rPr>
                  <w:rStyle w:val="Hyperlink"/>
                </w:rPr>
                <w:t>用户手册</w:t>
              </w:r>
            </w:hyperlink>
          </w:p>
        </w:tc>
        <w:tc>
          <w:tcPr>
            <w:tcW w:w="2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已实现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用最终 </w:t>
            </w:r>
            <w:r>
              <w:rPr/>
              <w:t xml:space="preserve">UI </w:t>
            </w:r>
            <w:r>
              <w:rPr/>
              <w:t>截图和实际访问地址替换示例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技术报告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7">
              <w:r>
                <w:rPr>
                  <w:rStyle w:val="Hyperlink"/>
                </w:rPr>
                <w:t>技术报告</w:t>
              </w:r>
            </w:hyperlink>
          </w:p>
        </w:tc>
        <w:tc>
          <w:tcPr>
            <w:tcW w:w="2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已实现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补充实测指标、对比实验和限制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PPT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8">
              <w:r>
                <w:rPr>
                  <w:rStyle w:val="Hyperlink"/>
                </w:rPr>
                <w:t xml:space="preserve">PPT </w:t>
              </w:r>
              <w:r>
                <w:rPr>
                  <w:rStyle w:val="Hyperlink"/>
                </w:rPr>
                <w:t>提纲</w:t>
              </w:r>
            </w:hyperlink>
          </w:p>
        </w:tc>
        <w:tc>
          <w:tcPr>
            <w:tcW w:w="2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已实现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按提纲制作正式 </w:t>
            </w:r>
            <w:r>
              <w:rPr/>
              <w:t xml:space="preserve">PPT </w:t>
            </w:r>
            <w:r>
              <w:rPr/>
              <w:t>并检查涉密信息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演示视频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9">
              <w:r>
                <w:rPr>
                  <w:rStyle w:val="Hyperlink"/>
                </w:rPr>
                <w:t>演示脚本</w:t>
              </w:r>
            </w:hyperlink>
          </w:p>
        </w:tc>
        <w:tc>
          <w:tcPr>
            <w:tcW w:w="2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已实现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在隔离环境录制，保留正常路径与失败重规划路径</w:t>
            </w:r>
          </w:p>
        </w:tc>
      </w:tr>
      <w:tr>
        <w:trPr/>
        <w:tc>
          <w:tcPr>
            <w:tcW w:w="225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原创</w:t>
            </w:r>
            <w:r>
              <w:rPr/>
              <w:t>/</w:t>
            </w:r>
            <w:r>
              <w:rPr/>
              <w:t>保密声明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hyperlink r:id="rId10">
              <w:r>
                <w:rPr>
                  <w:rStyle w:val="Hyperlink"/>
                </w:rPr>
                <w:t>声明模板</w:t>
              </w:r>
            </w:hyperlink>
          </w:p>
        </w:tc>
        <w:tc>
          <w:tcPr>
            <w:tcW w:w="23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模板</w:t>
            </w:r>
          </w:p>
        </w:tc>
        <w:tc>
          <w:tcPr>
            <w:tcW w:w="37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由队伍负责人审阅、签字、盖章（如要求）</w:t>
            </w:r>
          </w:p>
        </w:tc>
      </w:tr>
    </w:tbl>
    <w:p>
      <w:pPr>
        <w:pStyle w:val="Heading2"/>
        <w:bidi w:val="0"/>
        <w:jc w:val="start"/>
        <w:rPr/>
      </w:pPr>
      <w:r>
        <w:rPr/>
        <w:t>二、源代码交付检查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源代码可以从一个全新的目录解压并按部署手册构建。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不包含 </w:t>
      </w:r>
      <w:r>
        <w:rPr/>
        <w:t>API Key</w:t>
      </w:r>
      <w:r>
        <w:rPr/>
        <w:t>、</w:t>
      </w:r>
      <w:r>
        <w:rPr/>
        <w:t>OAuth token</w:t>
      </w:r>
      <w:r>
        <w:rPr/>
        <w:t>、</w:t>
      </w:r>
      <w:r>
        <w:rPr/>
        <w:t>Cookie</w:t>
      </w:r>
      <w:r>
        <w:rPr/>
        <w:t>、私钥、</w:t>
      </w:r>
      <w:r>
        <w:rPr>
          <w:rStyle w:val="SourceText"/>
        </w:rPr>
        <w:t>.env</w:t>
      </w:r>
      <w:r>
        <w:rPr/>
        <w:t xml:space="preserve">、个人会话、浏览器缓存或真实目标数据。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ourceText"/>
        </w:rPr>
        <w:t>.pi</w:t>
      </w:r>
      <w:r>
        <w:rPr/>
        <w:t xml:space="preserve"> </w:t>
      </w:r>
      <w:r>
        <w:rPr/>
        <w:t xml:space="preserve">中只保留项目配置和部署覆盖，不把安全内核复制为第二份实现。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ourceText"/>
        </w:rPr>
        <w:t>packages/secagent/agents/</w:t>
      </w:r>
      <w:r>
        <w:rPr/>
        <w:t>、</w:t>
      </w:r>
      <w:r>
        <w:rPr>
          <w:rStyle w:val="SourceText"/>
        </w:rPr>
        <w:t>src/</w:t>
      </w:r>
      <w:r>
        <w:rPr/>
        <w:t>、</w:t>
      </w:r>
      <w:r>
        <w:rPr>
          <w:rStyle w:val="SourceText"/>
        </w:rPr>
        <w:t>templates/</w:t>
      </w:r>
      <w:r>
        <w:rPr/>
        <w:t>、</w:t>
      </w:r>
      <w:r>
        <w:rPr>
          <w:rStyle w:val="SourceText"/>
        </w:rPr>
        <w:t>test/</w:t>
      </w:r>
      <w:r>
        <w:rPr/>
        <w:t xml:space="preserve"> </w:t>
      </w:r>
      <w:r>
        <w:rPr/>
        <w:t xml:space="preserve">和文档均包含在源代码包中。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ourceText"/>
        </w:rPr>
        <w:t>package-lock.json</w:t>
      </w:r>
      <w:r>
        <w:rPr/>
        <w:t>、</w:t>
      </w:r>
      <w:r>
        <w:rPr/>
        <w:t xml:space="preserve">SecAgent </w:t>
      </w:r>
      <w:r>
        <w:rPr/>
        <w:t xml:space="preserve">运行包版本和工具镜像版本已固定并记录。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记录最终 </w:t>
      </w:r>
      <w:r>
        <w:rPr/>
        <w:t>Git commit</w:t>
      </w:r>
      <w:r>
        <w:rPr/>
        <w:t>、</w:t>
      </w:r>
      <w:r>
        <w:rPr/>
        <w:t xml:space="preserve">Node.js </w:t>
      </w:r>
      <w:r>
        <w:rPr/>
        <w:t xml:space="preserve">版本、操作系统、容器基础镜像和构建时间。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对源代码压缩包和镜像导出文件生成 </w:t>
      </w:r>
      <w:r>
        <w:rPr/>
        <w:t xml:space="preserve">SHA-256 </w:t>
      </w:r>
      <w:r>
        <w:rPr/>
        <w:t xml:space="preserve">校验值。 </w:t>
      </w:r>
    </w:p>
    <w:p>
      <w:pPr>
        <w:pStyle w:val="Heading2"/>
        <w:bidi w:val="0"/>
        <w:jc w:val="start"/>
        <w:rPr/>
      </w:pPr>
      <w:r>
        <w:rPr/>
        <w:t>三、在线可测地址模板</w:t>
      </w:r>
    </w:p>
    <w:p>
      <w:pPr>
        <w:pStyle w:val="BodyText"/>
        <w:bidi w:val="0"/>
        <w:jc w:val="start"/>
        <w:rPr/>
      </w:pPr>
      <w:r>
        <w:rPr/>
        <w:t xml:space="preserve">仓库不应虚构在线地址。部署完成后复制以下模板为 </w:t>
      </w:r>
      <w:r>
        <w:rPr>
          <w:rStyle w:val="SourceText"/>
        </w:rPr>
        <w:t>online-test/access-url.md</w:t>
      </w:r>
      <w:r>
        <w:rPr/>
        <w:t xml:space="preserve"> </w:t>
      </w:r>
      <w:r>
        <w:rPr/>
        <w:t>并填写：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# </w:t>
      </w:r>
      <w:r>
        <w:rPr>
          <w:rStyle w:val="SourceText"/>
        </w:rPr>
        <w:t>在线可测地址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访问地址：需填写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协议：需填写 </w:t>
      </w:r>
      <w:r>
        <w:rPr>
          <w:rStyle w:val="SourceText"/>
        </w:rPr>
        <w:t xml:space="preserve">HTTPS / </w:t>
      </w:r>
      <w:r>
        <w:rPr>
          <w:rStyle w:val="SourceText"/>
        </w:rPr>
        <w:t xml:space="preserve">受控内网 </w:t>
      </w:r>
      <w:r>
        <w:rPr>
          <w:rStyle w:val="SourceText"/>
        </w:rPr>
        <w:t>HTTP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可用时间：需填写开始时间至结束时间，使用带时区的 </w:t>
      </w:r>
      <w:r>
        <w:rPr>
          <w:rStyle w:val="SourceText"/>
        </w:rPr>
        <w:t>ISO 8601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认证方式：需填写临时账号、单点登录或主办方网关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测试范围：仅允许访问主办方明确提供的靶场或题目目标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联系人：需填写姓名、邮箱或比赛平台账号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限制：禁止公网扫描、禁止上传真实凭证、禁止超出授权范围的测试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健康检查：</w:t>
      </w:r>
      <w:r>
        <w:rPr>
          <w:rStyle w:val="SourceText"/>
        </w:rPr>
        <w:t xml:space="preserve">GET / </w:t>
      </w:r>
      <w:r>
        <w:rPr>
          <w:rStyle w:val="SourceText"/>
        </w:rPr>
        <w:t xml:space="preserve">返回 </w:t>
      </w:r>
      <w:r>
        <w:rPr>
          <w:rStyle w:val="SourceText"/>
        </w:rPr>
        <w:t>200</w:t>
      </w:r>
      <w:r>
        <w:rPr>
          <w:rStyle w:val="SourceText"/>
        </w:rPr>
        <w:t>；</w:t>
      </w:r>
      <w:r>
        <w:rPr>
          <w:rStyle w:val="SourceText"/>
        </w:rPr>
        <w:t>Session API</w:t>
      </w:r>
      <w:r>
        <w:rPr>
          <w:rStyle w:val="SourceText"/>
        </w:rPr>
        <w:t>、</w:t>
      </w:r>
      <w:r>
        <w:rPr>
          <w:rStyle w:val="SourceText"/>
        </w:rPr>
        <w:t xml:space="preserve">Sec Profile API </w:t>
      </w:r>
      <w:r>
        <w:rPr>
          <w:rStyle w:val="SourceText"/>
        </w:rPr>
        <w:t>和报告下载已验证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版本：需填写 </w:t>
      </w:r>
      <w:r>
        <w:rPr>
          <w:rStyle w:val="SourceText"/>
        </w:rPr>
        <w:t>Git commit</w:t>
      </w:r>
      <w:r>
        <w:rPr>
          <w:rStyle w:val="SourceText"/>
        </w:rPr>
        <w:t xml:space="preserve">、容器镜像摘要和 </w:t>
      </w:r>
      <w:r>
        <w:rPr>
          <w:rStyle w:val="SourceText"/>
        </w:rPr>
        <w:t xml:space="preserve">SecAgent </w:t>
      </w:r>
      <w:r>
        <w:rPr>
          <w:rStyle w:val="SourceText"/>
        </w:rPr>
        <w:t>版本</w:t>
      </w:r>
    </w:p>
    <w:p>
      <w:pPr>
        <w:pStyle w:val="BodyText"/>
        <w:bidi w:val="0"/>
        <w:jc w:val="start"/>
        <w:rPr/>
      </w:pPr>
      <w:r>
        <w:rPr/>
        <w:t>在线地址必须经过访问控制、日志保留和最小权限配置。演示账户不应复用开发人员个人凭证；测试结束后应立即失效。</w:t>
      </w:r>
    </w:p>
    <w:p>
      <w:pPr>
        <w:pStyle w:val="Heading2"/>
        <w:bidi w:val="0"/>
        <w:jc w:val="start"/>
        <w:rPr/>
      </w:pPr>
      <w:r>
        <w:rPr/>
        <w:t>四、文档质量检查</w:t>
      </w:r>
    </w:p>
    <w:p>
      <w:pPr>
        <w:pStyle w:val="BodyText"/>
        <w:bidi w:val="0"/>
        <w:jc w:val="start"/>
        <w:rPr/>
      </w:pPr>
      <w:r>
        <w:rPr/>
        <w:t>每份正式文档至少应包含适用版本和日期、目标读者、前置条件、可执行步骤或可验证结论、已知限制和失败处理、代码</w:t>
      </w:r>
      <w:r>
        <w:rPr/>
        <w:t>/</w:t>
      </w:r>
      <w:r>
        <w:rPr/>
        <w:t>测试交叉引用，以及敏感信息审查结果。</w:t>
      </w:r>
    </w:p>
    <w:p>
      <w:pPr>
        <w:pStyle w:val="Heading2"/>
        <w:bidi w:val="0"/>
        <w:jc w:val="start"/>
        <w:rPr/>
      </w:pPr>
      <w:r>
        <w:rPr/>
        <w:t>五、最终验收门槛</w:t>
      </w:r>
    </w:p>
    <w:p>
      <w:pPr>
        <w:pStyle w:val="Heading3"/>
        <w:bidi w:val="0"/>
        <w:jc w:val="start"/>
        <w:rPr/>
      </w:pPr>
      <w:r>
        <w:rPr/>
        <w:t>程序与部署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ourceText"/>
        </w:rPr>
        <w:t>npm run check</w:t>
      </w:r>
      <w:r>
        <w:rPr/>
        <w:t xml:space="preserve"> </w:t>
      </w:r>
      <w:r>
        <w:rPr/>
        <w:t xml:space="preserve">通过。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SecAgent </w:t>
      </w:r>
      <w:r>
        <w:rPr/>
        <w:t xml:space="preserve">定向测试通过。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Coding/Sec </w:t>
      </w:r>
      <w:r>
        <w:rPr/>
        <w:t xml:space="preserve">模式持久化、恢复、模式冲突测试通过。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Web </w:t>
      </w:r>
      <w:r>
        <w:rPr/>
        <w:t>首页、</w:t>
      </w:r>
      <w:r>
        <w:rPr/>
        <w:t>Session API</w:t>
      </w:r>
      <w:r>
        <w:rPr/>
        <w:t xml:space="preserve">、新建 </w:t>
      </w:r>
      <w:r>
        <w:rPr/>
        <w:t>Sec Session</w:t>
      </w:r>
      <w:r>
        <w:rPr/>
        <w:t>、</w:t>
      </w:r>
      <w:r>
        <w:rPr/>
        <w:t>Profile API</w:t>
      </w:r>
      <w:r>
        <w:rPr/>
        <w:t>、</w:t>
      </w:r>
      <w:r>
        <w:rPr/>
        <w:t>SSE</w:t>
      </w:r>
      <w:r>
        <w:rPr/>
        <w:t xml:space="preserve">、报告下载通过。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从无 </w:t>
      </w:r>
      <w:r>
        <w:rPr>
          <w:rStyle w:val="SourceText"/>
        </w:rPr>
        <w:t>dist</w:t>
      </w:r>
      <w:r>
        <w:rPr/>
        <w:t xml:space="preserve"> </w:t>
      </w:r>
      <w:r>
        <w:rPr/>
        <w:t xml:space="preserve">状态完成构建，且生产 </w:t>
      </w:r>
      <w:r>
        <w:rPr/>
        <w:t xml:space="preserve">Web </w:t>
      </w:r>
      <w:r>
        <w:rPr/>
        <w:t xml:space="preserve">可以启动。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容器以非 </w:t>
      </w:r>
      <w:r>
        <w:rPr/>
        <w:t>root</w:t>
      </w:r>
      <w:r>
        <w:rPr/>
        <w:t xml:space="preserve">、只读根文件系统、最小挂载和 </w:t>
      </w:r>
      <w:r>
        <w:rPr/>
        <w:t xml:space="preserve">loopback </w:t>
      </w:r>
      <w:r>
        <w:rPr/>
        <w:t xml:space="preserve">端口运行。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autonomous </w:t>
      </w:r>
      <w:r>
        <w:rPr/>
        <w:t xml:space="preserve">在没有隔离和一次性授权时被拒绝。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只对 </w:t>
      </w:r>
      <w:r>
        <w:rPr/>
        <w:t>loopback</w:t>
      </w:r>
      <w:r>
        <w:rPr/>
        <w:t xml:space="preserve">、一次性容器或主办方明确授权目标进行真实工具测试。 </w:t>
      </w:r>
    </w:p>
    <w:p>
      <w:pPr>
        <w:pStyle w:val="Heading3"/>
        <w:bidi w:val="0"/>
        <w:jc w:val="start"/>
        <w:rPr/>
      </w:pPr>
      <w:r>
        <w:rPr/>
        <w:t>文档与媒体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PPT </w:t>
      </w:r>
      <w:r>
        <w:rPr/>
        <w:t xml:space="preserve">中的每项能力都能指向代码、测试或演示证据。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视频展示任务理解、计划、执行、证据、重规划、审计和报告，而不是只展示模型回答。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测试报告区分确定性 </w:t>
      </w:r>
      <w:r>
        <w:rPr/>
        <w:t>CI</w:t>
      </w:r>
      <w:r>
        <w:rPr/>
        <w:t xml:space="preserve">、真实本地工具和比赛环境结果。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技术报告不把候选发现写成未经验证的漏洞结论。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声明函已由所有需要的作者或负责人审阅。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在线地址和所有临时账号已登记并经过脱敏审核。 </w:t>
      </w:r>
    </w:p>
    <w:p>
      <w:pPr>
        <w:pStyle w:val="Heading2"/>
        <w:bidi w:val="0"/>
        <w:jc w:val="start"/>
        <w:rPr/>
      </w:pPr>
      <w:r>
        <w:rPr/>
        <w:t>六、正式提交包编制与证据索引</w:t>
      </w:r>
    </w:p>
    <w:p>
      <w:pPr>
        <w:pStyle w:val="BodyText"/>
        <w:bidi w:val="0"/>
        <w:jc w:val="start"/>
        <w:rPr/>
      </w:pPr>
      <w:r>
        <w:rPr/>
        <w:t>本节是最终打包时的核对索引。</w:t>
      </w:r>
      <w:r>
        <w:rPr>
          <w:rStyle w:val="SourceText"/>
        </w:rPr>
        <w:t>状态</w:t>
      </w:r>
      <w:r>
        <w:rPr/>
        <w:t>只表示当前仓库或已有记录的状态，不代表比赛环境验收已经完成。凡标记为“待补证据”的项目，必须在最终提交前附上原始日志、截图或签字文件；不得仅用代码存在替代运行证据。</w:t>
      </w:r>
    </w:p>
    <w:p>
      <w:pPr>
        <w:pStyle w:val="Heading3"/>
        <w:bidi w:val="0"/>
        <w:jc w:val="start"/>
        <w:rPr/>
      </w:pPr>
      <w:r>
        <w:rPr/>
        <w:t xml:space="preserve">6.1 </w:t>
      </w:r>
      <w:r>
        <w:rPr/>
        <w:t>三类材料与评分证据映射</w:t>
      </w:r>
    </w:p>
    <w:tbl>
      <w:tblPr>
        <w:tblW w:w="145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931"/>
        <w:gridCol w:w="2967"/>
        <w:gridCol w:w="4627"/>
        <w:gridCol w:w="2908"/>
        <w:gridCol w:w="2069"/>
      </w:tblGrid>
      <w:tr>
        <w:trPr>
          <w:tblHeader w:val="true"/>
        </w:trPr>
        <w:tc>
          <w:tcPr>
            <w:tcW w:w="1931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比赛材料类别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最终提交内容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仓库来源或生成入口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必须附带的证据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当前状态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程序材料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完整源代码、依赖锁定文件、</w:t>
            </w:r>
            <w:r>
              <w:rPr/>
              <w:t>Dockerfile</w:t>
            </w:r>
            <w:r>
              <w:rPr/>
              <w:t>、</w:t>
            </w:r>
            <w:r>
              <w:rPr/>
              <w:t>Compose</w:t>
            </w:r>
            <w:r>
              <w:rPr/>
              <w:t>、启动脚本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packages/secagent/</w:t>
            </w:r>
            <w:r>
              <w:rPr/>
              <w:t>、</w:t>
            </w:r>
            <w:r>
              <w:rPr>
                <w:rStyle w:val="SourceText"/>
              </w:rPr>
              <w:t>packages/coding-agent/</w:t>
            </w:r>
            <w:r>
              <w:rPr/>
              <w:t>、</w:t>
            </w:r>
            <w:r>
              <w:rPr>
                <w:rStyle w:val="SourceText"/>
              </w:rPr>
              <w:t>packages/web-ui/</w:t>
            </w:r>
            <w:r>
              <w:rPr/>
              <w:t xml:space="preserve">、根目录 </w:t>
            </w:r>
            <w:r>
              <w:rPr>
                <w:rStyle w:val="SourceText"/>
              </w:rPr>
              <w:t>package-lock.json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Git commit</w:t>
            </w:r>
            <w:r>
              <w:rPr/>
              <w:t xml:space="preserve">、源代码包 </w:t>
            </w:r>
            <w:r>
              <w:rPr/>
              <w:t>SHA-256</w:t>
            </w:r>
            <w:r>
              <w:rPr/>
              <w:t>、无密钥扫描结果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源码待最终冻结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程序材料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一键部署与运行环境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packages/secagent/templates/</w:t>
            </w:r>
            <w:r>
              <w:rPr/>
              <w:t>、</w:t>
            </w:r>
            <w:hyperlink r:id="rId11">
              <w:r>
                <w:rPr>
                  <w:rStyle w:val="Hyperlink"/>
                </w:rPr>
                <w:t>部署手册</w:t>
              </w:r>
            </w:hyperlink>
          </w:p>
        </w:tc>
        <w:tc>
          <w:tcPr>
            <w:tcW w:w="29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docker compose config</w:t>
            </w:r>
            <w:r>
              <w:rPr/>
              <w:t xml:space="preserve">、镜像构建日志、镜像 </w:t>
            </w:r>
            <w:r>
              <w:rPr/>
              <w:t>digest</w:t>
            </w:r>
            <w:r>
              <w:rPr/>
              <w:t>、启动日志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容器验收待补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程序材料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在线可测服务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由参赛队伍部署后填写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URL</w:t>
            </w:r>
            <w:r>
              <w:rPr/>
              <w:t>、访问时间、账号</w:t>
            </w:r>
            <w:r>
              <w:rPr/>
              <w:t>/</w:t>
            </w:r>
            <w:r>
              <w:rPr/>
              <w:t>网关、健康检查响应、联系人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尚未提供在线地址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文档材料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方案设计、开发文档、测试报告、用户手册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方案设计</w:t>
            </w:r>
            <w:r>
              <w:rPr>
                <w:rStyle w:val="SourceText"/>
              </w:rPr>
              <w:t>.md</w:t>
            </w:r>
            <w:r>
              <w:rPr/>
              <w:t>、</w:t>
            </w:r>
            <w:r>
              <w:rPr>
                <w:rStyle w:val="SourceText"/>
              </w:rPr>
              <w:t>开发文档</w:t>
            </w:r>
            <w:r>
              <w:rPr>
                <w:rStyle w:val="SourceText"/>
              </w:rPr>
              <w:t>.md</w:t>
            </w:r>
            <w:r>
              <w:rPr/>
              <w:t>、</w:t>
            </w:r>
            <w:r>
              <w:rPr>
                <w:rStyle w:val="SourceText"/>
              </w:rPr>
              <w:t>测试报告</w:t>
            </w:r>
            <w:r>
              <w:rPr>
                <w:rStyle w:val="SourceText"/>
              </w:rPr>
              <w:t>.md</w:t>
            </w:r>
            <w:r>
              <w:rPr/>
              <w:t>、</w:t>
            </w:r>
            <w:r>
              <w:rPr>
                <w:rStyle w:val="SourceText"/>
              </w:rPr>
              <w:t>用户手册</w:t>
            </w:r>
            <w:r>
              <w:rPr>
                <w:rStyle w:val="SourceText"/>
              </w:rPr>
              <w:t>.md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文档版本、日期、对应 </w:t>
            </w:r>
            <w:r>
              <w:rPr/>
              <w:t>commit</w:t>
            </w:r>
            <w:r>
              <w:rPr/>
              <w:t>、截图和日志索引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已有初稿，待赛前定稿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文档材料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技术报告、</w:t>
            </w:r>
            <w:r>
              <w:rPr/>
              <w:t>PPT</w:t>
            </w:r>
            <w:r>
              <w:rPr/>
              <w:t>、演示脚本</w:t>
            </w:r>
            <w:r>
              <w:rPr/>
              <w:t>/</w:t>
            </w:r>
            <w:r>
              <w:rPr/>
              <w:t>视频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技术报告</w:t>
            </w:r>
            <w:r>
              <w:rPr>
                <w:rStyle w:val="SourceText"/>
              </w:rPr>
              <w:t>.md</w:t>
            </w:r>
            <w:r>
              <w:rPr/>
              <w:t>、</w:t>
            </w:r>
            <w:r>
              <w:rPr>
                <w:rStyle w:val="SourceText"/>
              </w:rPr>
              <w:t>方案介绍</w:t>
            </w:r>
            <w:r>
              <w:rPr>
                <w:rStyle w:val="SourceText"/>
              </w:rPr>
              <w:t>PPT</w:t>
            </w:r>
            <w:r>
              <w:rPr>
                <w:rStyle w:val="SourceText"/>
              </w:rPr>
              <w:t>提纲</w:t>
            </w:r>
            <w:r>
              <w:rPr>
                <w:rStyle w:val="SourceText"/>
              </w:rPr>
              <w:t>.md</w:t>
            </w:r>
            <w:r>
              <w:rPr/>
              <w:t>、</w:t>
            </w:r>
            <w:r>
              <w:rPr>
                <w:rStyle w:val="SourceText"/>
              </w:rPr>
              <w:t>演示脚本</w:t>
            </w:r>
            <w:r>
              <w:rPr>
                <w:rStyle w:val="SourceText"/>
              </w:rPr>
              <w:t>.md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正式 </w:t>
            </w:r>
            <w:r>
              <w:rPr/>
              <w:t>PPT</w:t>
            </w:r>
            <w:r>
              <w:rPr/>
              <w:t>、演示视频、演示环境版本和录制时间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文档待定稿，媒体待制作</w:t>
            </w:r>
          </w:p>
        </w:tc>
      </w:tr>
      <w:tr>
        <w:trPr/>
        <w:tc>
          <w:tcPr>
            <w:tcW w:w="1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声明函</w:t>
            </w:r>
          </w:p>
        </w:tc>
        <w:tc>
          <w:tcPr>
            <w:tcW w:w="296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原创性及保密性声明</w:t>
            </w:r>
          </w:p>
        </w:tc>
        <w:tc>
          <w:tcPr>
            <w:tcW w:w="462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原创性与保密性声明模板</w:t>
            </w:r>
            <w:r>
              <w:rPr>
                <w:rStyle w:val="SourceText"/>
              </w:rPr>
              <w:t>.md</w:t>
            </w:r>
          </w:p>
        </w:tc>
        <w:tc>
          <w:tcPr>
            <w:tcW w:w="29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负责人</w:t>
            </w:r>
            <w:r>
              <w:rPr/>
              <w:t>/</w:t>
            </w:r>
            <w:r>
              <w:rPr/>
              <w:t>作者签字、盖章或电子签章（按主办方要求）</w:t>
            </w:r>
          </w:p>
        </w:tc>
        <w:tc>
          <w:tcPr>
            <w:tcW w:w="206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待签署</w:t>
            </w:r>
          </w:p>
        </w:tc>
      </w:tr>
    </w:tbl>
    <w:p>
      <w:pPr>
        <w:pStyle w:val="Heading3"/>
        <w:bidi w:val="0"/>
        <w:jc w:val="start"/>
        <w:rPr/>
      </w:pPr>
      <w:r>
        <w:rPr/>
        <w:t xml:space="preserve">6.2 </w:t>
      </w:r>
      <w:r>
        <w:rPr/>
        <w:t>验收证据索引</w:t>
      </w:r>
    </w:p>
    <w:p>
      <w:pPr>
        <w:pStyle w:val="BodyText"/>
        <w:bidi w:val="0"/>
        <w:jc w:val="start"/>
        <w:rPr/>
      </w:pPr>
      <w:r>
        <w:rPr/>
        <w:t xml:space="preserve">最终归档建议把下列证据放入 </w:t>
      </w:r>
      <w:r>
        <w:rPr>
          <w:rStyle w:val="SourceText"/>
        </w:rPr>
        <w:t>evidence/</w:t>
      </w:r>
      <w:r>
        <w:rPr/>
        <w:t xml:space="preserve">，文件名保持稳定，便于评委复核。日志中如包含路径、模型地址、账号或目标信息，应先脱敏，再计算 </w:t>
      </w:r>
      <w:r>
        <w:rPr/>
        <w:t>SHA-256</w:t>
      </w:r>
      <w:r>
        <w:rPr/>
        <w:t>；原始受限材料应单独按主办方要求保管。</w:t>
      </w:r>
    </w:p>
    <w:tbl>
      <w:tblPr>
        <w:tblW w:w="145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48"/>
        <w:gridCol w:w="2403"/>
        <w:gridCol w:w="5103"/>
        <w:gridCol w:w="5148"/>
      </w:tblGrid>
      <w:tr>
        <w:trPr>
          <w:tblHeader w:val="true"/>
        </w:trPr>
        <w:tc>
          <w:tcPr>
            <w:tcW w:w="184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证据编号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证明事项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生成方式</w:t>
            </w:r>
          </w:p>
        </w:tc>
        <w:tc>
          <w:tcPr>
            <w:tcW w:w="514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建议归档文件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E-01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代码版本与环境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git rev-parse HEAD</w:t>
            </w:r>
            <w:r>
              <w:rPr/>
              <w:t>、</w:t>
            </w:r>
            <w:r>
              <w:rPr>
                <w:rStyle w:val="SourceText"/>
              </w:rPr>
              <w:t>node --version</w:t>
            </w:r>
            <w:r>
              <w:rPr/>
              <w:t>、</w:t>
            </w:r>
            <w:r>
              <w:rPr>
                <w:rStyle w:val="SourceText"/>
              </w:rPr>
              <w:t>npm --version</w:t>
            </w:r>
            <w:r>
              <w:rPr/>
              <w:t>、</w:t>
            </w:r>
            <w:r>
              <w:rPr>
                <w:rStyle w:val="SourceText"/>
              </w:rPr>
              <w:t>docker version</w:t>
            </w:r>
            <w:r>
              <w:rPr/>
              <w:t>、</w:t>
            </w:r>
            <w:r>
              <w:rPr>
                <w:rStyle w:val="SourceText"/>
              </w:rPr>
              <w:t>uname -a</w:t>
            </w:r>
          </w:p>
        </w:tc>
        <w:tc>
          <w:tcPr>
            <w:tcW w:w="51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evidence/environment.txt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E-02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依赖和静态检查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npm run check</w:t>
            </w:r>
          </w:p>
        </w:tc>
        <w:tc>
          <w:tcPr>
            <w:tcW w:w="51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evidence/npm-check.log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E-03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SecAgent </w:t>
            </w:r>
            <w:r>
              <w:rPr/>
              <w:t>核心测试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npm run test --workspace=@earendil-works/pi-secagent</w:t>
            </w:r>
          </w:p>
        </w:tc>
        <w:tc>
          <w:tcPr>
            <w:tcW w:w="51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evidence/secagent-tests.log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E-04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根目录非付费回归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./test.sh</w:t>
            </w:r>
          </w:p>
        </w:tc>
        <w:tc>
          <w:tcPr>
            <w:tcW w:w="51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evidence/repository-test.log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E-05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生产构建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npm run build</w:t>
            </w:r>
            <w:r>
              <w:rPr/>
              <w:t>、</w:t>
            </w:r>
            <w:r>
              <w:rPr>
                <w:rStyle w:val="SourceText"/>
              </w:rPr>
              <w:t>npm run build --workspace=@agegr/pi-web</w:t>
            </w:r>
          </w:p>
        </w:tc>
        <w:tc>
          <w:tcPr>
            <w:tcW w:w="51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evidence/build.log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E-06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容器 </w:t>
            </w:r>
            <w:r>
              <w:rPr/>
              <w:t xml:space="preserve">Compose </w:t>
            </w:r>
            <w:r>
              <w:rPr/>
              <w:t>配置与构建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bash packages/secagent/scripts/competition-acceptance.sh --base-image node:22-bookworm-slim</w:t>
            </w:r>
          </w:p>
        </w:tc>
        <w:tc>
          <w:tcPr>
            <w:tcW w:w="51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evidence/container-acceptance/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E-07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五类受控场景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同一验收脚本生成的 </w:t>
            </w:r>
            <w:r>
              <w:rPr>
                <w:rStyle w:val="SourceText"/>
              </w:rPr>
              <w:t>controlled-acceptance.json</w:t>
            </w:r>
            <w:r>
              <w:rPr/>
              <w:t xml:space="preserve"> </w:t>
            </w:r>
            <w:r>
              <w:rPr/>
              <w:t xml:space="preserve">和 </w:t>
            </w:r>
            <w:r>
              <w:rPr/>
              <w:t>summary</w:t>
            </w:r>
          </w:p>
        </w:tc>
        <w:tc>
          <w:tcPr>
            <w:tcW w:w="51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evidence/container-acceptance/controlled-acceptance.json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E-08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Web API</w:t>
            </w:r>
            <w:r>
              <w:rPr/>
              <w:t>、</w:t>
            </w:r>
            <w:r>
              <w:rPr/>
              <w:t>SSE</w:t>
            </w:r>
            <w:r>
              <w:rPr/>
              <w:t>、报告和重启恢复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同一验收脚本生成的响应文件</w:t>
            </w:r>
          </w:p>
        </w:tc>
        <w:tc>
          <w:tcPr>
            <w:tcW w:w="51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evidence/container-acceptance/</w:t>
            </w:r>
            <w:r>
              <w:rPr/>
              <w:t xml:space="preserve"> </w:t>
            </w:r>
            <w:r>
              <w:rPr/>
              <w:t xml:space="preserve">中的 </w:t>
            </w:r>
            <w:r>
              <w:rPr>
                <w:rStyle w:val="SourceText"/>
              </w:rPr>
              <w:t>new-session.json</w:t>
            </w:r>
            <w:r>
              <w:rPr/>
              <w:t>、</w:t>
            </w:r>
            <w:r>
              <w:rPr>
                <w:rStyle w:val="SourceText"/>
              </w:rPr>
              <w:t>profile-*.json</w:t>
            </w:r>
            <w:r>
              <w:rPr/>
              <w:t>、</w:t>
            </w:r>
            <w:r>
              <w:rPr>
                <w:rStyle w:val="SourceText"/>
              </w:rPr>
              <w:t>running-events.sse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E-09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安全边界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scope</w:t>
            </w:r>
            <w:r>
              <w:rPr/>
              <w:t>、</w:t>
            </w:r>
            <w:r>
              <w:rPr/>
              <w:t xml:space="preserve">autonomous </w:t>
            </w:r>
            <w:r>
              <w:rPr/>
              <w:t>前置条件、越界告警测试日志</w:t>
            </w:r>
          </w:p>
        </w:tc>
        <w:tc>
          <w:tcPr>
            <w:tcW w:w="51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evidence/security-boundary.log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E-10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界面和演示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浏览器截图、录屏、演示 </w:t>
            </w:r>
            <w:r>
              <w:rPr/>
              <w:t>Session/report ID</w:t>
            </w:r>
          </w:p>
        </w:tc>
        <w:tc>
          <w:tcPr>
            <w:tcW w:w="51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evidence/screenshots/</w:t>
            </w:r>
            <w:r>
              <w:rPr/>
              <w:t>、</w:t>
            </w:r>
            <w:r>
              <w:rPr>
                <w:rStyle w:val="SourceText"/>
              </w:rPr>
              <w:t>media/demonstration.mp4</w:t>
            </w:r>
          </w:p>
        </w:tc>
      </w:tr>
      <w:tr>
        <w:trPr/>
        <w:tc>
          <w:tcPr>
            <w:tcW w:w="18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E-11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完整性与脱敏</w:t>
            </w:r>
          </w:p>
        </w:tc>
        <w:tc>
          <w:tcPr>
            <w:tcW w:w="510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对提交包、镜像导出物和证据目录执行 </w:t>
            </w:r>
            <w:r>
              <w:rPr/>
              <w:t>SHA-256</w:t>
            </w:r>
            <w:r>
              <w:rPr/>
              <w:t>，并进行密钥扫描</w:t>
            </w:r>
          </w:p>
        </w:tc>
        <w:tc>
          <w:tcPr>
            <w:tcW w:w="51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evidence/SHA256SUMS</w:t>
            </w:r>
            <w:r>
              <w:rPr/>
              <w:t>、</w:t>
            </w:r>
            <w:r>
              <w:rPr>
                <w:rStyle w:val="SourceText"/>
              </w:rPr>
              <w:t>evidence/redaction-checklist.md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容器验收脚本默认将日志写入 </w:t>
      </w:r>
      <w:r>
        <w:rPr>
          <w:rStyle w:val="SourceText"/>
        </w:rPr>
        <w:t xml:space="preserve">.artifacts/secagent-acceptance/&lt;UTC </w:t>
      </w:r>
      <w:r>
        <w:rPr>
          <w:rStyle w:val="SourceText"/>
        </w:rPr>
        <w:t>时间</w:t>
      </w:r>
      <w:r>
        <w:rPr>
          <w:rStyle w:val="SourceText"/>
        </w:rPr>
        <w:t>&gt;/</w:t>
      </w:r>
      <w:r>
        <w:rPr/>
        <w:t xml:space="preserve">，并生成 </w:t>
      </w:r>
      <w:r>
        <w:rPr>
          <w:rStyle w:val="SourceText"/>
        </w:rPr>
        <w:t>acceptance-summary.json</w:t>
      </w:r>
      <w:r>
        <w:rPr/>
        <w:t xml:space="preserve">。该目录只有在脚本最终输出 </w:t>
      </w:r>
      <w:r>
        <w:rPr>
          <w:rStyle w:val="SourceText"/>
        </w:rPr>
        <w:t>PASS</w:t>
      </w:r>
      <w:r>
        <w:rPr/>
        <w:t xml:space="preserve"> </w:t>
      </w:r>
      <w:r>
        <w:rPr/>
        <w:t>后才能作为“通过”证据；如果失败于镜像构建、网络、工具安装或其他阶段，必须保留失败日志并在测试报告中登记为失败或待补测。</w:t>
      </w:r>
    </w:p>
    <w:p>
      <w:pPr>
        <w:pStyle w:val="Heading3"/>
        <w:bidi w:val="0"/>
        <w:jc w:val="start"/>
        <w:rPr/>
      </w:pPr>
      <w:r>
        <w:rPr/>
        <w:t xml:space="preserve">6.3 </w:t>
      </w:r>
      <w:r>
        <w:rPr/>
        <w:t>本次复核状态（</w:t>
      </w:r>
      <w:r>
        <w:rPr/>
        <w:t>2026-09-02</w:t>
      </w:r>
      <w:r>
        <w:rPr/>
        <w:t>）</w:t>
      </w:r>
    </w:p>
    <w:p>
      <w:pPr>
        <w:pStyle w:val="BodyText"/>
        <w:bidi w:val="0"/>
        <w:jc w:val="start"/>
        <w:rPr/>
      </w:pPr>
      <w:r>
        <w:rPr/>
        <w:t>本节记录当前工作区已经取得的可复核结果，不能替代最终冻结版本的证据包。</w:t>
      </w:r>
    </w:p>
    <w:tbl>
      <w:tblPr>
        <w:tblW w:w="145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53"/>
        <w:gridCol w:w="2759"/>
        <w:gridCol w:w="8790"/>
      </w:tblGrid>
      <w:tr>
        <w:trPr>
          <w:tblHeader w:val="true"/>
        </w:trPr>
        <w:tc>
          <w:tcPr>
            <w:tcW w:w="295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验收项</w:t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当前结果</w:t>
            </w:r>
          </w:p>
        </w:tc>
        <w:tc>
          <w:tcPr>
            <w:tcW w:w="8790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说明</w:t>
            </w:r>
          </w:p>
        </w:tc>
      </w:tr>
      <w:tr>
        <w:trPr/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npm run check</w:t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PASS</w:t>
            </w:r>
          </w:p>
        </w:tc>
        <w:tc>
          <w:tcPr>
            <w:tcW w:w="8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已在 </w:t>
            </w:r>
            <w:r>
              <w:rPr/>
              <w:t xml:space="preserve">Node.js 22 </w:t>
            </w:r>
            <w:r>
              <w:rPr/>
              <w:t>环境完成</w:t>
            </w:r>
          </w:p>
        </w:tc>
      </w:tr>
      <w:tr>
        <w:trPr/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SecAgent </w:t>
            </w:r>
            <w:r>
              <w:rPr/>
              <w:t>核心测试</w:t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PASS</w:t>
            </w:r>
            <w:r>
              <w:rPr/>
              <w:t>：</w:t>
            </w:r>
            <w:r>
              <w:rPr/>
              <w:t xml:space="preserve">85 </w:t>
            </w:r>
            <w:r>
              <w:rPr/>
              <w:t>通过、</w:t>
            </w:r>
            <w:r>
              <w:rPr/>
              <w:t xml:space="preserve">3 </w:t>
            </w:r>
            <w:r>
              <w:rPr/>
              <w:t>跳过</w:t>
            </w:r>
          </w:p>
        </w:tc>
        <w:tc>
          <w:tcPr>
            <w:tcW w:w="8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共 </w:t>
            </w:r>
            <w:r>
              <w:rPr/>
              <w:t xml:space="preserve">25 </w:t>
            </w:r>
            <w:r>
              <w:rPr/>
              <w:t>个测试文件；跳过项需在正式报告中说明</w:t>
            </w:r>
          </w:p>
        </w:tc>
      </w:tr>
      <w:tr>
        <w:trPr/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Web UI </w:t>
            </w:r>
            <w:r>
              <w:rPr/>
              <w:t>契约与回归测试</w:t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PASS</w:t>
            </w:r>
            <w:r>
              <w:rPr/>
              <w:t>：</w:t>
            </w:r>
            <w:r>
              <w:rPr/>
              <w:t xml:space="preserve">611 </w:t>
            </w:r>
            <w:r>
              <w:rPr/>
              <w:t>通过</w:t>
            </w:r>
          </w:p>
        </w:tc>
        <w:tc>
          <w:tcPr>
            <w:tcW w:w="8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覆盖 </w:t>
            </w:r>
            <w:r>
              <w:rPr/>
              <w:t>Sec workspace</w:t>
            </w:r>
            <w:r>
              <w:rPr/>
              <w:t>、中英文资源、</w:t>
            </w:r>
            <w:r>
              <w:rPr/>
              <w:t>Profile API</w:t>
            </w:r>
            <w:r>
              <w:rPr/>
              <w:t>、</w:t>
            </w:r>
            <w:r>
              <w:rPr/>
              <w:t>SSE</w:t>
            </w:r>
            <w:r>
              <w:rPr/>
              <w:t>、文件操作、模型配置和重启相关回归</w:t>
            </w:r>
          </w:p>
        </w:tc>
      </w:tr>
      <w:tr>
        <w:trPr/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受控五场景基准</w:t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PASS</w:t>
            </w:r>
          </w:p>
        </w:tc>
        <w:tc>
          <w:tcPr>
            <w:tcW w:w="8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覆盖 </w:t>
            </w:r>
            <w:r>
              <w:rPr/>
              <w:t>Web</w:t>
            </w:r>
            <w:r>
              <w:rPr/>
              <w:t>、</w:t>
            </w:r>
            <w:r>
              <w:rPr/>
              <w:t>Pwn</w:t>
            </w:r>
            <w:r>
              <w:rPr/>
              <w:t>、</w:t>
            </w:r>
            <w:r>
              <w:rPr/>
              <w:t>Reverse</w:t>
            </w:r>
            <w:r>
              <w:rPr/>
              <w:t>、</w:t>
            </w:r>
            <w:r>
              <w:rPr/>
              <w:t>Forensics</w:t>
            </w:r>
            <w:r>
              <w:rPr/>
              <w:t>、</w:t>
            </w:r>
            <w:r>
              <w:rPr/>
              <w:t>Killchain</w:t>
            </w:r>
            <w:r>
              <w:rPr/>
              <w:t xml:space="preserve">；统一指标 </w:t>
            </w:r>
            <w:r>
              <w:rPr/>
              <w:t xml:space="preserve">JSON </w:t>
            </w:r>
            <w:r>
              <w:rPr/>
              <w:t>已生成，使用确定性受控执行器</w:t>
            </w:r>
          </w:p>
        </w:tc>
      </w:tr>
      <w:tr>
        <w:trPr/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容器正式验收</w:t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FAIL/</w:t>
            </w:r>
            <w:r>
              <w:rPr/>
              <w:t>待补测</w:t>
            </w:r>
          </w:p>
        </w:tc>
        <w:tc>
          <w:tcPr>
            <w:tcW w:w="8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已加入 </w:t>
            </w:r>
            <w:r>
              <w:rPr/>
              <w:t xml:space="preserve">host </w:t>
            </w:r>
            <w:r>
              <w:rPr/>
              <w:t xml:space="preserve">构建网络、下载重试和可配置镜像，但当前 </w:t>
            </w:r>
            <w:r>
              <w:rPr>
                <w:rStyle w:val="SourceText"/>
              </w:rPr>
              <w:t>node:22-bookworm-slim</w:t>
            </w:r>
            <w:r>
              <w:rPr/>
              <w:t xml:space="preserve"> </w:t>
            </w:r>
            <w:r>
              <w:rPr/>
              <w:t xml:space="preserve">构建仍无法稳定下载 </w:t>
            </w:r>
            <w:r>
              <w:rPr/>
              <w:t xml:space="preserve">Debian </w:t>
            </w:r>
            <w:r>
              <w:rPr/>
              <w:t xml:space="preserve">包体，退出码 </w:t>
            </w:r>
            <w:r>
              <w:rPr/>
              <w:t>41/42</w:t>
            </w:r>
            <w:r>
              <w:rPr/>
              <w:t>；不得宣称容器已通过</w:t>
            </w:r>
          </w:p>
        </w:tc>
      </w:tr>
      <w:tr>
        <w:trPr/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完整仓库回归</w:t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未完成，待 </w:t>
            </w:r>
            <w:r>
              <w:rPr/>
              <w:t xml:space="preserve">ext4/CI </w:t>
            </w:r>
            <w:r>
              <w:rPr/>
              <w:t>重跑</w:t>
            </w:r>
          </w:p>
        </w:tc>
        <w:tc>
          <w:tcPr>
            <w:tcW w:w="8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/mnt/e</w:t>
            </w:r>
            <w:r>
              <w:rPr/>
              <w:t xml:space="preserve"> Windows </w:t>
            </w:r>
            <w:r>
              <w:rPr/>
              <w:t xml:space="preserve">挂载盘运行约 </w:t>
            </w:r>
            <w:r>
              <w:rPr/>
              <w:t xml:space="preserve">50 </w:t>
            </w:r>
            <w:r>
              <w:rPr/>
              <w:t>分钟未产生最终汇总，期间出现失败标记；本次不能作为通过证据</w:t>
            </w:r>
          </w:p>
        </w:tc>
      </w:tr>
      <w:tr>
        <w:trPr/>
        <w:tc>
          <w:tcPr>
            <w:tcW w:w="29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在线可测地址</w:t>
            </w:r>
          </w:p>
        </w:tc>
        <w:tc>
          <w:tcPr>
            <w:tcW w:w="275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未提供</w:t>
            </w:r>
          </w:p>
        </w:tc>
        <w:tc>
          <w:tcPr>
            <w:tcW w:w="879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需由参赛队伍部署后填写，不在仓库中虚构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容器网络恢复后，先执行 </w:t>
      </w:r>
      <w:r>
        <w:rPr>
          <w:rStyle w:val="SourceText"/>
        </w:rPr>
        <w:t>docker run --rm --entrypoint sh node:22-bookworm-slim -c 'apt-get -o APT::Update::Error-Mode=any -o Acquire::Retries=5 update'</w:t>
      </w:r>
      <w:r>
        <w:rPr/>
        <w:t xml:space="preserve">，确认 </w:t>
      </w:r>
      <w:r>
        <w:rPr/>
        <w:t xml:space="preserve">Debian </w:t>
      </w:r>
      <w:r>
        <w:rPr/>
        <w:t>软件源可达，再执行正式验收脚本。对应的失败日志目录和补测要求已登记在</w:t>
      </w:r>
      <w:hyperlink r:id="rId12">
        <w:r>
          <w:rPr>
            <w:rStyle w:val="Hyperlink"/>
          </w:rPr>
          <w:t>测试报告</w:t>
        </w:r>
      </w:hyperlink>
      <w:r>
        <w:rPr/>
        <w:t xml:space="preserve">第 </w:t>
      </w:r>
      <w:r>
        <w:rPr/>
        <w:t xml:space="preserve">8.1 </w:t>
      </w:r>
      <w:r>
        <w:rPr/>
        <w:t>节。</w:t>
      </w:r>
    </w:p>
    <w:p>
      <w:pPr>
        <w:pStyle w:val="Heading3"/>
        <w:bidi w:val="0"/>
        <w:jc w:val="start"/>
        <w:rPr/>
      </w:pPr>
      <w:r>
        <w:rPr/>
        <w:t xml:space="preserve">6.4 </w:t>
      </w:r>
      <w:r>
        <w:rPr/>
        <w:t>提交前封包流程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冻结提交版本：记录 </w:t>
      </w:r>
      <w:r>
        <w:rPr/>
        <w:t>Git commit</w:t>
      </w:r>
      <w:r>
        <w:rPr/>
        <w:t>、版本号、</w:t>
      </w:r>
      <w:r>
        <w:rPr/>
        <w:t xml:space="preserve">Node.js </w:t>
      </w:r>
      <w:r>
        <w:rPr/>
        <w:t xml:space="preserve">版本、操作系统、容器基础镜像和工具版本。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在干净副本中执行源代码包检查、密钥扫描和依赖完整性检查。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按</w:t>
      </w:r>
      <w:hyperlink r:id="rId13">
        <w:r>
          <w:rPr>
            <w:rStyle w:val="Hyperlink"/>
          </w:rPr>
          <w:t>部署手册</w:t>
        </w:r>
      </w:hyperlink>
      <w:r>
        <w:rPr/>
        <w:t xml:space="preserve">执行构建、启动和容器验收；将完整验收目录复制到 </w:t>
      </w:r>
      <w:r>
        <w:rPr>
          <w:rStyle w:val="SourceText"/>
        </w:rPr>
        <w:t>evidence/container-acceptance/</w:t>
      </w:r>
      <w:r>
        <w:rPr/>
        <w:t xml:space="preserve">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执行 </w:t>
      </w:r>
      <w:r>
        <w:rPr/>
        <w:t xml:space="preserve">Web </w:t>
      </w:r>
      <w:r>
        <w:rPr/>
        <w:t xml:space="preserve">演示：创建 </w:t>
      </w:r>
      <w:r>
        <w:rPr/>
        <w:t>Sec Session</w:t>
      </w:r>
      <w:r>
        <w:rPr/>
        <w:t xml:space="preserve">、设置 </w:t>
      </w:r>
      <w:r>
        <w:rPr/>
        <w:t>scope</w:t>
      </w:r>
      <w:r>
        <w:rPr/>
        <w:t xml:space="preserve">、查看 </w:t>
      </w:r>
      <w:r>
        <w:rPr/>
        <w:t>diagnostics</w:t>
      </w:r>
      <w:r>
        <w:rPr/>
        <w:t>、运行受控场景、查看审计</w:t>
      </w:r>
      <w:r>
        <w:rPr/>
        <w:t>/</w:t>
      </w:r>
      <w:r>
        <w:rPr/>
        <w:t xml:space="preserve">决策、下载 </w:t>
      </w:r>
      <w:r>
        <w:rPr/>
        <w:t xml:space="preserve">Markdown </w:t>
      </w:r>
      <w:r>
        <w:rPr/>
        <w:t xml:space="preserve">和 </w:t>
      </w:r>
      <w:r>
        <w:rPr/>
        <w:t xml:space="preserve">JSON </w:t>
      </w:r>
      <w:r>
        <w:rPr/>
        <w:t xml:space="preserve">报告。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对每项能力建立“能力—代码路径—测试编号—证据文件—演示时间点”映射，补入技术报告和 </w:t>
      </w:r>
      <w:r>
        <w:rPr/>
        <w:t>PPT</w:t>
      </w:r>
      <w:r>
        <w:rPr/>
        <w:t xml:space="preserve">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清理 </w:t>
      </w:r>
      <w:r>
        <w:rPr/>
        <w:t>API Key</w:t>
      </w:r>
      <w:r>
        <w:rPr/>
        <w:t>、</w:t>
      </w:r>
      <w:r>
        <w:rPr/>
        <w:t>Cookie</w:t>
      </w:r>
      <w:r>
        <w:rPr/>
        <w:t>、</w:t>
      </w:r>
      <w:r>
        <w:rPr/>
        <w:t xml:space="preserve">Session </w:t>
      </w:r>
      <w:r>
        <w:rPr/>
        <w:t xml:space="preserve">文件、真实目标、内部域名和个人路径；复核截图、日志、视频字幕和 </w:t>
      </w:r>
      <w:r>
        <w:rPr/>
        <w:t xml:space="preserve">PPT </w:t>
      </w:r>
      <w:r>
        <w:rPr/>
        <w:t xml:space="preserve">备注页。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生成提交包和 </w:t>
      </w:r>
      <w:r>
        <w:rPr/>
        <w:t>SHA-256</w:t>
      </w:r>
      <w:r>
        <w:rPr/>
        <w:t xml:space="preserve">，使用另一台环境或另一名成员按用户手册进行一次复核。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由负责人确认在线地址、账号有效期、数据保留策略、应急联系人和声明函签署状态。 </w:t>
      </w:r>
    </w:p>
    <w:p>
      <w:pPr>
        <w:pStyle w:val="Heading3"/>
        <w:bidi w:val="0"/>
        <w:jc w:val="start"/>
        <w:rPr/>
      </w:pPr>
      <w:r>
        <w:rPr/>
        <w:t xml:space="preserve">6.5 </w:t>
      </w:r>
      <w:r>
        <w:rPr/>
        <w:t>版本冻结记录模板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## </w:t>
      </w:r>
      <w:r>
        <w:rPr>
          <w:rStyle w:val="SourceText"/>
        </w:rPr>
        <w:t>提交版本冻结记录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队伍</w:t>
      </w:r>
      <w:r>
        <w:rPr>
          <w:rStyle w:val="SourceText"/>
        </w:rPr>
        <w:t>/</w:t>
      </w:r>
      <w:r>
        <w:rPr>
          <w:rStyle w:val="SourceText"/>
        </w:rPr>
        <w:t>作品名称：需填写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比赛名称与组别：需填写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Git commit</w:t>
      </w:r>
      <w:r>
        <w:rPr>
          <w:rStyle w:val="SourceText"/>
        </w:rPr>
        <w:t>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SecAgent </w:t>
      </w:r>
      <w:r>
        <w:rPr>
          <w:rStyle w:val="SourceText"/>
        </w:rPr>
        <w:t>版本：需填写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Node.js/npm</w:t>
      </w:r>
      <w:r>
        <w:rPr>
          <w:rStyle w:val="SourceText"/>
        </w:rPr>
        <w:t>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操作系统</w:t>
      </w:r>
      <w:r>
        <w:rPr>
          <w:rStyle w:val="SourceText"/>
        </w:rPr>
        <w:t>/WSL</w:t>
      </w:r>
      <w:r>
        <w:rPr>
          <w:rStyle w:val="SourceText"/>
        </w:rPr>
        <w:t>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 Docker/Compose</w:t>
      </w:r>
      <w:r>
        <w:rPr>
          <w:rStyle w:val="SourceText"/>
        </w:rPr>
        <w:t>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基础镜像及 </w:t>
      </w:r>
      <w:r>
        <w:rPr>
          <w:rStyle w:val="SourceText"/>
        </w:rPr>
        <w:t>digest</w:t>
      </w:r>
      <w:r>
        <w:rPr>
          <w:rStyle w:val="SourceText"/>
        </w:rPr>
        <w:t>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安全工具及版本：需填写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模型</w:t>
      </w:r>
      <w:r>
        <w:rPr>
          <w:rStyle w:val="SourceText"/>
        </w:rPr>
        <w:t>/</w:t>
      </w:r>
      <w:r>
        <w:rPr>
          <w:rStyle w:val="SourceText"/>
        </w:rPr>
        <w:t>网关配置标识：只填写非敏感标识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冻结时间：</w:t>
      </w:r>
      <w:r>
        <w:rPr>
          <w:rStyle w:val="SourceText"/>
        </w:rPr>
        <w:t>YYYY-MM-DDThh:mm:ss+08:00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复核人：需填写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>密钥扫描结果：</w:t>
      </w:r>
      <w:r>
        <w:rPr>
          <w:rStyle w:val="SourceText"/>
        </w:rPr>
        <w:t>PASS / FAIL</w:t>
      </w:r>
      <w:r>
        <w:rPr>
          <w:rStyle w:val="SourceText"/>
        </w:rPr>
        <w:t>，证据文件需填写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提交包 </w:t>
      </w:r>
      <w:r>
        <w:rPr>
          <w:rStyle w:val="SourceText"/>
        </w:rPr>
        <w:t>SHA-256</w:t>
      </w:r>
      <w:r>
        <w:rPr>
          <w:rStyle w:val="SourceText"/>
        </w:rPr>
        <w:t>：需填写</w:t>
      </w:r>
    </w:p>
    <w:p>
      <w:pPr>
        <w:pStyle w:val="Heading2"/>
        <w:bidi w:val="0"/>
        <w:jc w:val="start"/>
        <w:rPr/>
      </w:pPr>
      <w:r>
        <w:rPr/>
        <w:t>七、风险、限制与未完成项</w:t>
      </w:r>
    </w:p>
    <w:p>
      <w:pPr>
        <w:pStyle w:val="BodyText"/>
        <w:bidi w:val="0"/>
        <w:jc w:val="start"/>
        <w:rPr/>
      </w:pPr>
      <w:r>
        <w:rPr/>
        <w:t>以下项目必须在最终提交前逐项关闭，或在提交说明中明确披露影响、替代方案和补测时间。它们不是可以通过“功能代码已存在”自动豁免的事项。</w:t>
      </w:r>
    </w:p>
    <w:tbl>
      <w:tblPr>
        <w:tblW w:w="1450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73"/>
        <w:gridCol w:w="2784"/>
        <w:gridCol w:w="3437"/>
        <w:gridCol w:w="5508"/>
      </w:tblGrid>
      <w:tr>
        <w:trPr>
          <w:tblHeader w:val="true"/>
        </w:trPr>
        <w:tc>
          <w:tcPr>
            <w:tcW w:w="277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项目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当前影响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临时措施</w:t>
            </w:r>
          </w:p>
        </w:tc>
        <w:tc>
          <w:tcPr>
            <w:tcW w:w="5508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关闭条件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容器镜像构建</w:t>
            </w:r>
            <w:r>
              <w:rPr/>
              <w:t>/</w:t>
            </w:r>
            <w:r>
              <w:rPr/>
              <w:t>完整验收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未形成可宣称的容器通过证据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保留每次失败日志；网络恢复后重新执行正式脚本</w:t>
            </w:r>
          </w:p>
        </w:tc>
        <w:tc>
          <w:tcPr>
            <w:tcW w:w="5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ourceText"/>
              </w:rPr>
              <w:t>acceptance-summary.json</w:t>
            </w:r>
            <w:r>
              <w:rPr/>
              <w:t xml:space="preserve"> </w:t>
            </w:r>
            <w:r>
              <w:rPr/>
              <w:t xml:space="preserve">为通过，且镜像 </w:t>
            </w:r>
            <w:r>
              <w:rPr/>
              <w:t xml:space="preserve">digest </w:t>
            </w:r>
            <w:r>
              <w:rPr/>
              <w:t>已记录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在线可测地址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评委无法从外部访问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在提交包中提供本地容器复现方式</w:t>
            </w:r>
          </w:p>
        </w:tc>
        <w:tc>
          <w:tcPr>
            <w:tcW w:w="5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受控 </w:t>
            </w:r>
            <w:r>
              <w:rPr/>
              <w:t>URL</w:t>
            </w:r>
            <w:r>
              <w:rPr/>
              <w:t>、认证、时间窗和联系人已验证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WSL </w:t>
            </w:r>
            <w:r>
              <w:rPr>
                <w:rStyle w:val="SourceText"/>
              </w:rPr>
              <w:t>/mnt/*</w:t>
            </w:r>
            <w:r>
              <w:rPr/>
              <w:t xml:space="preserve"> </w:t>
            </w:r>
            <w:r>
              <w:rPr/>
              <w:t>性能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开发冷启动和小文件访问可能很慢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使用 </w:t>
            </w:r>
            <w:r>
              <w:rPr/>
              <w:t>ext4</w:t>
            </w:r>
            <w:r>
              <w:rPr/>
              <w:t xml:space="preserve">、生产 </w:t>
            </w:r>
            <w:r>
              <w:rPr/>
              <w:t xml:space="preserve">Web </w:t>
            </w:r>
            <w:r>
              <w:rPr/>
              <w:t xml:space="preserve">构建和持久化 </w:t>
            </w:r>
            <w:r>
              <w:rPr/>
              <w:t>Session</w:t>
            </w:r>
          </w:p>
        </w:tc>
        <w:tc>
          <w:tcPr>
            <w:tcW w:w="5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记录 </w:t>
            </w:r>
            <w:r>
              <w:rPr/>
              <w:t xml:space="preserve">ext4 </w:t>
            </w:r>
            <w:r>
              <w:rPr/>
              <w:t>与挂载盘耗时，演示环境满足响应要求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Web </w:t>
            </w:r>
            <w:r>
              <w:rPr/>
              <w:t>进程</w:t>
            </w:r>
            <w:r>
              <w:rPr/>
              <w:t xml:space="preserve">/SSE </w:t>
            </w:r>
            <w:r>
              <w:rPr/>
              <w:t>重启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可能出现短暂断线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使用生产进程监督；重连后读取持久化 </w:t>
            </w:r>
            <w:r>
              <w:rPr/>
              <w:t>snapshot</w:t>
            </w:r>
          </w:p>
        </w:tc>
        <w:tc>
          <w:tcPr>
            <w:tcW w:w="5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重启回归通过，未重复执行未确认动作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外部模型</w:t>
            </w:r>
            <w:r>
              <w:rPr/>
              <w:t>/</w:t>
            </w:r>
            <w:r>
              <w:rPr/>
              <w:t>网关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网络或配额可能影响在线演示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使用主办方网关或已审查的离线</w:t>
            </w:r>
            <w:r>
              <w:rPr/>
              <w:t xml:space="preserve">/faux </w:t>
            </w:r>
            <w:r>
              <w:rPr/>
              <w:t>路径</w:t>
            </w:r>
          </w:p>
        </w:tc>
        <w:tc>
          <w:tcPr>
            <w:tcW w:w="5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记录连通性、超时、限流和备用方案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安全工具可用性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工具缺失时场景能力不完整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使用固定镜像和启动诊断，不回退到任意 </w:t>
            </w:r>
            <w:r>
              <w:rPr/>
              <w:t>Shell</w:t>
            </w:r>
          </w:p>
        </w:tc>
        <w:tc>
          <w:tcPr>
            <w:tcW w:w="5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工具版本清单与诊断均通过</w:t>
            </w:r>
          </w:p>
        </w:tc>
      </w:tr>
      <w:tr>
        <w:trPr/>
        <w:tc>
          <w:tcPr>
            <w:tcW w:w="27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声明函与媒体</w:t>
            </w:r>
          </w:p>
        </w:tc>
        <w:tc>
          <w:tcPr>
            <w:tcW w:w="278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材料形式不完整或泄露敏感信息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先使用模板和隔离靶场录制</w:t>
            </w:r>
          </w:p>
        </w:tc>
        <w:tc>
          <w:tcPr>
            <w:tcW w:w="55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签字文件、正式 </w:t>
            </w:r>
            <w:r>
              <w:rPr/>
              <w:t xml:space="preserve">PPT </w:t>
            </w:r>
            <w:r>
              <w:rPr/>
              <w:t>和视频完成脱敏复核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DejaVu Sans Mono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 w:before="1247" w:after="1247"/>
      <w:ind w:start="1247" w:end="1247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1" w:color="2B6EA6"/>
      </w:pBdr>
    </w:pPr>
    <w:rPr>
      <w:rFonts w:ascii="Noto Sans" w:hAnsi="Noto Sans"/>
      <w:b/>
      <w:bCs/>
      <w:color w:val="123B63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1F5685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C628F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hd w:fill="F3F4F6" w:val="clear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066" w:leader="none"/>
        <w:tab w:val="right" w:pos="10885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1" w:color="2B6EA6"/>
      </w:pBdr>
      <w:shd w:fill="F3F4F6" w:val="clear"/>
      <w:spacing w:before="1247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F1F8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pi-docs-html-extra/&#37096;&#32626;&#25163;&#20876;.md" TargetMode="External"/><Relationship Id="rId3" Type="http://schemas.openxmlformats.org/officeDocument/2006/relationships/hyperlink" Target="../pi-docs-html-extra/&#26041;&#26696;&#35774;&#35745;.md" TargetMode="External"/><Relationship Id="rId4" Type="http://schemas.openxmlformats.org/officeDocument/2006/relationships/hyperlink" Target="../pi-docs-html-extra/&#24320;&#21457;&#25991;&#26723;.md" TargetMode="External"/><Relationship Id="rId5" Type="http://schemas.openxmlformats.org/officeDocument/2006/relationships/hyperlink" Target="../pi-docs-html-extra/&#27979;&#35797;&#25253;&#21578;.md" TargetMode="External"/><Relationship Id="rId6" Type="http://schemas.openxmlformats.org/officeDocument/2006/relationships/hyperlink" Target="../pi-docs-html-extra/&#29992;&#25143;&#25163;&#20876;.md" TargetMode="External"/><Relationship Id="rId7" Type="http://schemas.openxmlformats.org/officeDocument/2006/relationships/hyperlink" Target="../pi-docs-html-extra/&#25216;&#26415;&#25253;&#21578;.md" TargetMode="External"/><Relationship Id="rId8" Type="http://schemas.openxmlformats.org/officeDocument/2006/relationships/hyperlink" Target="../pi-docs-html-extra/&#26041;&#26696;&#20171;&#32461;PPT&#25552;&#32434;.md" TargetMode="External"/><Relationship Id="rId9" Type="http://schemas.openxmlformats.org/officeDocument/2006/relationships/hyperlink" Target="../pi-docs-html-extra/&#28436;&#31034;&#33050;&#26412;.md" TargetMode="External"/><Relationship Id="rId10" Type="http://schemas.openxmlformats.org/officeDocument/2006/relationships/hyperlink" Target="../pi-docs-html-extra/&#21407;&#21019;&#24615;&#19982;&#20445;&#23494;&#24615;&#22768;&#26126;&#27169;&#26495;.md" TargetMode="External"/><Relationship Id="rId11" Type="http://schemas.openxmlformats.org/officeDocument/2006/relationships/hyperlink" Target="../pi-docs-html-extra/&#37096;&#32626;&#25163;&#20876;.md" TargetMode="External"/><Relationship Id="rId12" Type="http://schemas.openxmlformats.org/officeDocument/2006/relationships/hyperlink" Target="../pi-docs-html-extra/&#27979;&#35797;&#25253;&#21578;.md" TargetMode="External"/><Relationship Id="rId13" Type="http://schemas.openxmlformats.org/officeDocument/2006/relationships/hyperlink" Target="../pi-docs-html-extra/&#37096;&#32626;&#25163;&#20876;.md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提交材料清单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