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 xml:space="preserve">SecAgent </w:t>
      </w:r>
      <w:r>
        <w:rPr/>
        <w:t>通用网络安全智能体方案设计</w:t>
      </w:r>
    </w:p>
    <w:p>
      <w:pPr>
        <w:pStyle w:val="Heading2"/>
        <w:bidi w:val="0"/>
        <w:jc w:val="start"/>
        <w:rPr/>
      </w:pPr>
      <w:r>
        <w:rPr/>
        <w:t xml:space="preserve">1. </w:t>
      </w:r>
      <w:r>
        <w:rPr/>
        <w:t>文档信息</w:t>
      </w:r>
    </w:p>
    <w:tbl>
      <w:tblPr>
        <w:tblW w:w="9321" w:type="dxa"/>
        <w:jc w:val="start"/>
        <w:tblInd w:w="0" w:type="dxa"/>
        <w:tblLayout w:type="fixed"/>
        <w:tblCellMar>
          <w:top w:w="28" w:type="dxa"/>
          <w:start w:w="28" w:type="dxa"/>
          <w:bottom w:w="28" w:type="dxa"/>
          <w:end w:w="28" w:type="dxa"/>
        </w:tblCellMar>
      </w:tblPr>
      <w:tblGrid>
        <w:gridCol w:w="2328"/>
        <w:gridCol w:w="6993"/>
      </w:tblGrid>
      <w:tr>
        <w:trPr>
          <w:tblHeader w:val="true"/>
        </w:trPr>
        <w:tc>
          <w:tcPr>
            <w:tcW w:w="2328" w:type="dxa"/>
            <w:tcBorders/>
            <w:vAlign w:val="center"/>
          </w:tcPr>
          <w:p>
            <w:pPr>
              <w:pStyle w:val="TableHeading"/>
              <w:suppressLineNumbers/>
              <w:shd w:fill="E8F1F8" w:val="clear"/>
              <w:bidi w:val="0"/>
              <w:spacing w:before="0" w:after="283"/>
              <w:jc w:val="center"/>
              <w:rPr/>
            </w:pPr>
            <w:r>
              <w:rPr/>
              <w:t>项目</w:t>
            </w:r>
          </w:p>
        </w:tc>
        <w:tc>
          <w:tcPr>
            <w:tcW w:w="6993" w:type="dxa"/>
            <w:tcBorders/>
            <w:vAlign w:val="center"/>
          </w:tcPr>
          <w:p>
            <w:pPr>
              <w:pStyle w:val="TableHeading"/>
              <w:suppressLineNumbers/>
              <w:shd w:fill="E8F1F8" w:val="clear"/>
              <w:bidi w:val="0"/>
              <w:spacing w:before="0" w:after="283"/>
              <w:jc w:val="center"/>
              <w:rPr/>
            </w:pPr>
            <w:r>
              <w:rPr/>
              <w:t>内容</w:t>
            </w:r>
          </w:p>
        </w:tc>
      </w:tr>
      <w:tr>
        <w:trPr/>
        <w:tc>
          <w:tcPr>
            <w:tcW w:w="2328" w:type="dxa"/>
            <w:tcBorders/>
            <w:vAlign w:val="center"/>
          </w:tcPr>
          <w:p>
            <w:pPr>
              <w:pStyle w:val="TableContents"/>
              <w:bidi w:val="0"/>
              <w:spacing w:before="0" w:after="283"/>
              <w:jc w:val="start"/>
              <w:rPr/>
            </w:pPr>
            <w:r>
              <w:rPr/>
              <w:t>方案名称</w:t>
            </w:r>
          </w:p>
        </w:tc>
        <w:tc>
          <w:tcPr>
            <w:tcW w:w="6993" w:type="dxa"/>
            <w:tcBorders/>
            <w:vAlign w:val="center"/>
          </w:tcPr>
          <w:p>
            <w:pPr>
              <w:pStyle w:val="TableContents"/>
              <w:bidi w:val="0"/>
              <w:spacing w:before="0" w:after="283"/>
              <w:jc w:val="start"/>
              <w:rPr/>
            </w:pPr>
            <w:r>
              <w:rPr/>
              <w:t>SecAgent</w:t>
            </w:r>
            <w:r>
              <w:rPr/>
              <w:t>：具备自主决策能力的通用网络安全智能体</w:t>
            </w:r>
          </w:p>
        </w:tc>
      </w:tr>
      <w:tr>
        <w:trPr/>
        <w:tc>
          <w:tcPr>
            <w:tcW w:w="2328" w:type="dxa"/>
            <w:tcBorders/>
            <w:vAlign w:val="center"/>
          </w:tcPr>
          <w:p>
            <w:pPr>
              <w:pStyle w:val="TableContents"/>
              <w:bidi w:val="0"/>
              <w:spacing w:before="0" w:after="283"/>
              <w:jc w:val="start"/>
              <w:rPr/>
            </w:pPr>
            <w:r>
              <w:rPr/>
              <w:t>运行载体</w:t>
            </w:r>
          </w:p>
        </w:tc>
        <w:tc>
          <w:tcPr>
            <w:tcW w:w="6993" w:type="dxa"/>
            <w:tcBorders/>
            <w:vAlign w:val="center"/>
          </w:tcPr>
          <w:p>
            <w:pPr>
              <w:pStyle w:val="TableContents"/>
              <w:bidi w:val="0"/>
              <w:spacing w:before="0" w:after="283"/>
              <w:jc w:val="start"/>
              <w:rPr/>
            </w:pPr>
            <w:r>
              <w:rPr/>
              <w:t xml:space="preserve">Pi Agent Harness </w:t>
            </w:r>
            <w:r>
              <w:rPr/>
              <w:t xml:space="preserve">的 </w:t>
            </w:r>
            <w:r>
              <w:rPr>
                <w:rStyle w:val="SourceText"/>
              </w:rPr>
              <w:t>sec</w:t>
            </w:r>
            <w:r>
              <w:rPr/>
              <w:t xml:space="preserve"> Profile</w:t>
            </w:r>
          </w:p>
        </w:tc>
      </w:tr>
      <w:tr>
        <w:trPr/>
        <w:tc>
          <w:tcPr>
            <w:tcW w:w="2328" w:type="dxa"/>
            <w:tcBorders/>
            <w:vAlign w:val="center"/>
          </w:tcPr>
          <w:p>
            <w:pPr>
              <w:pStyle w:val="TableContents"/>
              <w:bidi w:val="0"/>
              <w:spacing w:before="0" w:after="283"/>
              <w:jc w:val="start"/>
              <w:rPr/>
            </w:pPr>
            <w:r>
              <w:rPr/>
              <w:t>默认模式</w:t>
            </w:r>
          </w:p>
        </w:tc>
        <w:tc>
          <w:tcPr>
            <w:tcW w:w="6993" w:type="dxa"/>
            <w:tcBorders/>
            <w:vAlign w:val="center"/>
          </w:tcPr>
          <w:p>
            <w:pPr>
              <w:pStyle w:val="TableContents"/>
              <w:bidi w:val="0"/>
              <w:spacing w:before="0" w:after="283"/>
              <w:jc w:val="start"/>
              <w:rPr/>
            </w:pPr>
            <w:r>
              <w:rPr>
                <w:rStyle w:val="SourceText"/>
              </w:rPr>
              <w:t>coding</w:t>
            </w:r>
            <w:r>
              <w:rPr/>
              <w:t xml:space="preserve">；安全能力必须显式选择 </w:t>
            </w:r>
            <w:r>
              <w:rPr>
                <w:rStyle w:val="SourceText"/>
              </w:rPr>
              <w:t>sec</w:t>
            </w:r>
          </w:p>
        </w:tc>
      </w:tr>
      <w:tr>
        <w:trPr/>
        <w:tc>
          <w:tcPr>
            <w:tcW w:w="2328" w:type="dxa"/>
            <w:tcBorders/>
            <w:vAlign w:val="center"/>
          </w:tcPr>
          <w:p>
            <w:pPr>
              <w:pStyle w:val="TableContents"/>
              <w:bidi w:val="0"/>
              <w:spacing w:before="0" w:after="283"/>
              <w:jc w:val="start"/>
              <w:rPr/>
            </w:pPr>
            <w:r>
              <w:rPr/>
              <w:t>适用版本</w:t>
            </w:r>
          </w:p>
        </w:tc>
        <w:tc>
          <w:tcPr>
            <w:tcW w:w="6993" w:type="dxa"/>
            <w:tcBorders/>
            <w:vAlign w:val="center"/>
          </w:tcPr>
          <w:p>
            <w:pPr>
              <w:pStyle w:val="TableContents"/>
              <w:bidi w:val="0"/>
              <w:spacing w:before="0" w:after="283"/>
              <w:jc w:val="start"/>
              <w:rPr/>
            </w:pPr>
            <w:r>
              <w:rPr/>
              <w:t xml:space="preserve">以最终提交包中的 </w:t>
            </w:r>
            <w:r>
              <w:rPr/>
              <w:t xml:space="preserve">Git commit </w:t>
            </w:r>
            <w:r>
              <w:rPr/>
              <w:t>和容器镜像摘要为准</w:t>
            </w:r>
          </w:p>
        </w:tc>
      </w:tr>
      <w:tr>
        <w:trPr/>
        <w:tc>
          <w:tcPr>
            <w:tcW w:w="2328" w:type="dxa"/>
            <w:tcBorders/>
            <w:vAlign w:val="center"/>
          </w:tcPr>
          <w:p>
            <w:pPr>
              <w:pStyle w:val="TableContents"/>
              <w:bidi w:val="0"/>
              <w:spacing w:before="0" w:after="283"/>
              <w:jc w:val="start"/>
              <w:rPr/>
            </w:pPr>
            <w:r>
              <w:rPr/>
              <w:t>文档状态</w:t>
            </w:r>
          </w:p>
        </w:tc>
        <w:tc>
          <w:tcPr>
            <w:tcW w:w="6993" w:type="dxa"/>
            <w:tcBorders/>
            <w:vAlign w:val="center"/>
          </w:tcPr>
          <w:p>
            <w:pPr>
              <w:pStyle w:val="TableContents"/>
              <w:bidi w:val="0"/>
              <w:spacing w:before="0" w:after="283"/>
              <w:jc w:val="start"/>
              <w:rPr/>
            </w:pPr>
            <w:r>
              <w:rPr/>
              <w:t>参赛方案设计材料</w:t>
            </w:r>
          </w:p>
        </w:tc>
      </w:tr>
    </w:tbl>
    <w:p>
      <w:pPr>
        <w:pStyle w:val="BodyText"/>
        <w:bidi w:val="0"/>
        <w:jc w:val="start"/>
        <w:rPr/>
      </w:pPr>
      <w:r>
        <w:rPr/>
        <w:t>本方案针对“自主任务理解、多场景自主决策、自主执行、可解释和可审计”的通用网络安全智能体需求，给出可运行的软件架构、决策闭环、工具边界、部署方案和验证方法。</w:t>
      </w:r>
    </w:p>
    <w:p>
      <w:pPr>
        <w:pStyle w:val="Heading2"/>
        <w:bidi w:val="0"/>
        <w:jc w:val="start"/>
        <w:rPr/>
      </w:pPr>
      <w:r>
        <w:rPr/>
        <w:t xml:space="preserve">2. </w:t>
      </w:r>
      <w:r>
        <w:rPr/>
        <w:t>背景与问题</w:t>
      </w:r>
    </w:p>
    <w:p>
      <w:pPr>
        <w:pStyle w:val="BodyText"/>
        <w:bidi w:val="0"/>
        <w:jc w:val="start"/>
        <w:rPr/>
      </w:pPr>
      <w:r>
        <w:rPr/>
        <w:t>传统安全工具通常以单个扫描器或固定脚本为中心，存在四类问题：</w:t>
      </w:r>
    </w:p>
    <w:p>
      <w:pPr>
        <w:pStyle w:val="BodyText"/>
        <w:numPr>
          <w:ilvl w:val="0"/>
          <w:numId w:val="1"/>
        </w:numPr>
        <w:tabs>
          <w:tab w:val="clear" w:pos="1134"/>
          <w:tab w:val="left" w:pos="1956" w:leader="none"/>
        </w:tabs>
        <w:bidi w:val="0"/>
        <w:spacing w:before="0" w:after="0"/>
        <w:ind w:hanging="283" w:start="1956"/>
        <w:jc w:val="start"/>
        <w:rPr/>
      </w:pPr>
      <w:r>
        <w:rPr>
          <w:rStyle w:val="Strong"/>
        </w:rPr>
        <w:t>任务输入不结构化</w:t>
      </w:r>
      <w:r>
        <w:rPr/>
        <w:t xml:space="preserve">：自然语言、附件、配置文件和目标清单混在一起，系统难以区分任务目标、证据和授权范围。 </w:t>
      </w:r>
    </w:p>
    <w:p>
      <w:pPr>
        <w:pStyle w:val="BodyText"/>
        <w:numPr>
          <w:ilvl w:val="0"/>
          <w:numId w:val="1"/>
        </w:numPr>
        <w:tabs>
          <w:tab w:val="clear" w:pos="1134"/>
          <w:tab w:val="left" w:pos="1956" w:leader="none"/>
        </w:tabs>
        <w:bidi w:val="0"/>
        <w:spacing w:before="0" w:after="0"/>
        <w:ind w:hanging="283" w:start="1956"/>
        <w:jc w:val="start"/>
        <w:rPr/>
      </w:pPr>
      <w:r>
        <w:rPr>
          <w:rStyle w:val="Strong"/>
        </w:rPr>
        <w:t>工具编排缺少状态</w:t>
      </w:r>
      <w:r>
        <w:rPr/>
        <w:t xml:space="preserve">：工具调用按对话顺序发生，失败、矛盾结果和预算压力不能稳定触发策略调整。 </w:t>
      </w:r>
    </w:p>
    <w:p>
      <w:pPr>
        <w:pStyle w:val="BodyText"/>
        <w:numPr>
          <w:ilvl w:val="0"/>
          <w:numId w:val="1"/>
        </w:numPr>
        <w:tabs>
          <w:tab w:val="clear" w:pos="1134"/>
          <w:tab w:val="left" w:pos="1956" w:leader="none"/>
        </w:tabs>
        <w:bidi w:val="0"/>
        <w:spacing w:before="0" w:after="0"/>
        <w:ind w:hanging="283" w:start="1956"/>
        <w:jc w:val="start"/>
        <w:rPr/>
      </w:pPr>
      <w:r>
        <w:rPr>
          <w:rStyle w:val="Strong"/>
        </w:rPr>
        <w:t>发现与结论混淆</w:t>
      </w:r>
      <w:r>
        <w:rPr/>
        <w:t xml:space="preserve">：扫描器输出通常只是信号，缺少独立证据、验证记录和可追溯的决策依据。 </w:t>
      </w:r>
    </w:p>
    <w:p>
      <w:pPr>
        <w:pStyle w:val="BodyText"/>
        <w:numPr>
          <w:ilvl w:val="0"/>
          <w:numId w:val="1"/>
        </w:numPr>
        <w:tabs>
          <w:tab w:val="clear" w:pos="1134"/>
          <w:tab w:val="left" w:pos="1956" w:leader="none"/>
        </w:tabs>
        <w:bidi w:val="0"/>
        <w:ind w:hanging="283" w:start="1956"/>
        <w:jc w:val="start"/>
        <w:rPr/>
      </w:pPr>
      <w:r>
        <w:rPr>
          <w:rStyle w:val="Strong"/>
        </w:rPr>
        <w:t>自主执行边界不清</w:t>
      </w:r>
      <w:r>
        <w:rPr/>
        <w:t xml:space="preserve">：模型可能生成任意命令，工具缺失时退化为未经审计的 </w:t>
      </w:r>
      <w:r>
        <w:rPr/>
        <w:t>Shell</w:t>
      </w:r>
      <w:r>
        <w:rPr/>
        <w:t xml:space="preserve">，导致安全和复现风险。 </w:t>
      </w:r>
    </w:p>
    <w:p>
      <w:pPr>
        <w:pStyle w:val="BodyText"/>
        <w:bidi w:val="0"/>
        <w:jc w:val="start"/>
        <w:rPr/>
      </w:pPr>
      <w:r>
        <w:rPr/>
        <w:t xml:space="preserve">SecAgent </w:t>
      </w:r>
      <w:r>
        <w:rPr/>
        <w:t>将安全工作建模为有边界的状态空间搜索：每次行动由任务状态、证据、授权范围、工具能力、风险、成本和预算共同决定；执行结果进入事件日志和证据图，随后由观察器和验证器决定是否继续、重规划或终止。</w:t>
      </w:r>
    </w:p>
    <w:p>
      <w:pPr>
        <w:pStyle w:val="Heading2"/>
        <w:bidi w:val="0"/>
        <w:jc w:val="start"/>
        <w:rPr/>
      </w:pPr>
      <w:r>
        <w:rPr/>
        <w:t xml:space="preserve">3. </w:t>
      </w:r>
      <w:r>
        <w:rPr/>
        <w:t>设计目标</w:t>
      </w:r>
    </w:p>
    <w:p>
      <w:pPr>
        <w:pStyle w:val="Heading3"/>
        <w:bidi w:val="0"/>
        <w:jc w:val="start"/>
        <w:rPr/>
      </w:pPr>
      <w:r>
        <w:rPr/>
        <w:t xml:space="preserve">3.1 </w:t>
      </w:r>
      <w:r>
        <w:rPr/>
        <w:t>功能目标</w:t>
      </w:r>
    </w:p>
    <w:p>
      <w:pPr>
        <w:pStyle w:val="BodyText"/>
        <w:numPr>
          <w:ilvl w:val="0"/>
          <w:numId w:val="2"/>
        </w:numPr>
        <w:tabs>
          <w:tab w:val="clear" w:pos="1134"/>
          <w:tab w:val="left" w:pos="1956" w:leader="none"/>
        </w:tabs>
        <w:bidi w:val="0"/>
        <w:spacing w:before="0" w:after="0"/>
        <w:ind w:hanging="283" w:start="1956"/>
        <w:jc w:val="start"/>
        <w:rPr/>
      </w:pPr>
      <w:r>
        <w:rPr/>
        <w:t xml:space="preserve">接收自然语言及结构化安全任务输入，生成 </w:t>
      </w:r>
      <w:r>
        <w:rPr>
          <w:rStyle w:val="SourceText"/>
        </w:rPr>
        <w:t>SecurityTaskSpec</w:t>
      </w:r>
      <w:r>
        <w:rPr/>
        <w:t xml:space="preserve">。 </w:t>
      </w:r>
    </w:p>
    <w:p>
      <w:pPr>
        <w:pStyle w:val="BodyText"/>
        <w:numPr>
          <w:ilvl w:val="0"/>
          <w:numId w:val="2"/>
        </w:numPr>
        <w:tabs>
          <w:tab w:val="clear" w:pos="1134"/>
          <w:tab w:val="left" w:pos="1956" w:leader="none"/>
        </w:tabs>
        <w:bidi w:val="0"/>
        <w:spacing w:before="0" w:after="0"/>
        <w:ind w:hanging="283" w:start="1956"/>
        <w:jc w:val="start"/>
        <w:rPr/>
      </w:pPr>
      <w:r>
        <w:rPr/>
        <w:t>覆盖渗透测试、应急响应、漏洞研究、</w:t>
      </w:r>
      <w:r>
        <w:rPr/>
        <w:t xml:space="preserve">Web </w:t>
      </w:r>
      <w:r>
        <w:rPr/>
        <w:t xml:space="preserve">安全、逆向分析和 </w:t>
      </w:r>
      <w:r>
        <w:rPr/>
        <w:t xml:space="preserve">CTF </w:t>
      </w:r>
      <w:r>
        <w:rPr/>
        <w:t xml:space="preserve">能力画像。 </w:t>
      </w:r>
    </w:p>
    <w:p>
      <w:pPr>
        <w:pStyle w:val="BodyText"/>
        <w:numPr>
          <w:ilvl w:val="0"/>
          <w:numId w:val="2"/>
        </w:numPr>
        <w:tabs>
          <w:tab w:val="clear" w:pos="1134"/>
          <w:tab w:val="left" w:pos="1956" w:leader="none"/>
        </w:tabs>
        <w:bidi w:val="0"/>
        <w:spacing w:before="0" w:after="0"/>
        <w:ind w:hanging="283" w:start="1956"/>
        <w:jc w:val="start"/>
        <w:rPr/>
      </w:pPr>
      <w:r>
        <w:rPr/>
        <w:t xml:space="preserve">通过候选生成、计划、执行、证据、验证和重规划完成闭环。 </w:t>
      </w:r>
    </w:p>
    <w:p>
      <w:pPr>
        <w:pStyle w:val="BodyText"/>
        <w:numPr>
          <w:ilvl w:val="0"/>
          <w:numId w:val="2"/>
        </w:numPr>
        <w:tabs>
          <w:tab w:val="clear" w:pos="1134"/>
          <w:tab w:val="left" w:pos="1956" w:leader="none"/>
        </w:tabs>
        <w:bidi w:val="0"/>
        <w:spacing w:before="0" w:after="0"/>
        <w:ind w:hanging="283" w:start="1956"/>
        <w:jc w:val="start"/>
        <w:rPr/>
      </w:pPr>
      <w:r>
        <w:rPr/>
        <w:t xml:space="preserve">统一编排 </w:t>
      </w:r>
      <w:r>
        <w:rPr/>
        <w:t xml:space="preserve">CLI </w:t>
      </w:r>
      <w:r>
        <w:rPr/>
        <w:t xml:space="preserve">工具和 </w:t>
      </w:r>
      <w:r>
        <w:rPr/>
        <w:t xml:space="preserve">MCP </w:t>
      </w:r>
      <w:r>
        <w:rPr/>
        <w:t xml:space="preserve">工具，工具调用可审计、可复放。 </w:t>
      </w:r>
    </w:p>
    <w:p>
      <w:pPr>
        <w:pStyle w:val="BodyText"/>
        <w:numPr>
          <w:ilvl w:val="0"/>
          <w:numId w:val="2"/>
        </w:numPr>
        <w:tabs>
          <w:tab w:val="clear" w:pos="1134"/>
          <w:tab w:val="left" w:pos="1956" w:leader="none"/>
        </w:tabs>
        <w:bidi w:val="0"/>
        <w:spacing w:before="0" w:after="0"/>
        <w:ind w:hanging="283" w:start="1956"/>
        <w:jc w:val="start"/>
        <w:rPr/>
      </w:pPr>
      <w:r>
        <w:rPr/>
        <w:t xml:space="preserve">使用有界专业 </w:t>
      </w:r>
      <w:r>
        <w:rPr/>
        <w:t xml:space="preserve">Agent </w:t>
      </w:r>
      <w:r>
        <w:rPr/>
        <w:t>分担侦察、</w:t>
      </w:r>
      <w:r>
        <w:rPr/>
        <w:t>Web</w:t>
      </w:r>
      <w:r>
        <w:rPr/>
        <w:t xml:space="preserve">、分析、响应、漏洞和逆向任务。 </w:t>
      </w:r>
    </w:p>
    <w:p>
      <w:pPr>
        <w:pStyle w:val="BodyText"/>
        <w:numPr>
          <w:ilvl w:val="0"/>
          <w:numId w:val="2"/>
        </w:numPr>
        <w:tabs>
          <w:tab w:val="clear" w:pos="1134"/>
          <w:tab w:val="left" w:pos="1956" w:leader="none"/>
        </w:tabs>
        <w:bidi w:val="0"/>
        <w:ind w:hanging="283" w:start="1956"/>
        <w:jc w:val="start"/>
        <w:rPr/>
      </w:pPr>
      <w:r>
        <w:rPr/>
        <w:t xml:space="preserve">生成脱敏 </w:t>
      </w:r>
      <w:r>
        <w:rPr/>
        <w:t xml:space="preserve">Markdown/JSON </w:t>
      </w:r>
      <w:r>
        <w:rPr/>
        <w:t xml:space="preserve">报告。 </w:t>
      </w:r>
    </w:p>
    <w:p>
      <w:pPr>
        <w:pStyle w:val="Heading3"/>
        <w:bidi w:val="0"/>
        <w:jc w:val="start"/>
        <w:rPr/>
      </w:pPr>
      <w:r>
        <w:rPr/>
        <w:t xml:space="preserve">3.2 </w:t>
      </w:r>
      <w:r>
        <w:rPr/>
        <w:t>安全目标</w:t>
      </w:r>
    </w:p>
    <w:p>
      <w:pPr>
        <w:pStyle w:val="BodyText"/>
        <w:numPr>
          <w:ilvl w:val="0"/>
          <w:numId w:val="3"/>
        </w:numPr>
        <w:tabs>
          <w:tab w:val="clear" w:pos="1134"/>
          <w:tab w:val="left" w:pos="1956" w:leader="none"/>
        </w:tabs>
        <w:bidi w:val="0"/>
        <w:spacing w:before="0" w:after="0"/>
        <w:ind w:hanging="283" w:start="1956"/>
        <w:jc w:val="start"/>
        <w:rPr/>
      </w:pPr>
      <w:r>
        <w:rPr/>
        <w:t xml:space="preserve">附件中的目标永远不自动视为授权目标。 </w:t>
      </w:r>
    </w:p>
    <w:p>
      <w:pPr>
        <w:pStyle w:val="BodyText"/>
        <w:numPr>
          <w:ilvl w:val="0"/>
          <w:numId w:val="3"/>
        </w:numPr>
        <w:tabs>
          <w:tab w:val="clear" w:pos="1134"/>
          <w:tab w:val="left" w:pos="1956" w:leader="none"/>
        </w:tabs>
        <w:bidi w:val="0"/>
        <w:spacing w:before="0" w:after="0"/>
        <w:ind w:hanging="283" w:start="1956"/>
        <w:jc w:val="start"/>
        <w:rPr/>
      </w:pPr>
      <w:r>
        <w:rPr/>
        <w:t xml:space="preserve">网络和状态变更动作必须关联显式 </w:t>
      </w:r>
      <w:r>
        <w:rPr/>
        <w:t>scope</w:t>
      </w:r>
      <w:r>
        <w:rPr/>
        <w:t xml:space="preserve">。 </w:t>
      </w:r>
    </w:p>
    <w:p>
      <w:pPr>
        <w:pStyle w:val="BodyText"/>
        <w:numPr>
          <w:ilvl w:val="0"/>
          <w:numId w:val="3"/>
        </w:numPr>
        <w:tabs>
          <w:tab w:val="clear" w:pos="1134"/>
          <w:tab w:val="left" w:pos="1956" w:leader="none"/>
        </w:tabs>
        <w:bidi w:val="0"/>
        <w:spacing w:before="0" w:after="0"/>
        <w:ind w:hanging="283" w:start="1956"/>
        <w:jc w:val="start"/>
        <w:rPr/>
      </w:pPr>
      <w:r>
        <w:rPr>
          <w:rStyle w:val="SourceText"/>
        </w:rPr>
        <w:t>strict</w:t>
      </w:r>
      <w:r>
        <w:rPr/>
        <w:t>、</w:t>
      </w:r>
      <w:r>
        <w:rPr>
          <w:rStyle w:val="SourceText"/>
        </w:rPr>
        <w:t>competition</w:t>
      </w:r>
      <w:r>
        <w:rPr/>
        <w:t>、</w:t>
      </w:r>
      <w:r>
        <w:rPr>
          <w:rStyle w:val="SourceText"/>
        </w:rPr>
        <w:t>autonomous</w:t>
      </w:r>
      <w:r>
        <w:rPr/>
        <w:t xml:space="preserve"> </w:t>
      </w:r>
      <w:r>
        <w:rPr/>
        <w:t xml:space="preserve">与 </w:t>
      </w:r>
      <w:r>
        <w:rPr>
          <w:rStyle w:val="SourceText"/>
        </w:rPr>
        <w:t>coding/sec</w:t>
      </w:r>
      <w:r>
        <w:rPr/>
        <w:t xml:space="preserve"> </w:t>
      </w:r>
      <w:r>
        <w:rPr/>
        <w:t xml:space="preserve">模式相互独立。 </w:t>
      </w:r>
    </w:p>
    <w:p>
      <w:pPr>
        <w:pStyle w:val="BodyText"/>
        <w:numPr>
          <w:ilvl w:val="0"/>
          <w:numId w:val="3"/>
        </w:numPr>
        <w:tabs>
          <w:tab w:val="clear" w:pos="1134"/>
          <w:tab w:val="left" w:pos="1956" w:leader="none"/>
        </w:tabs>
        <w:bidi w:val="0"/>
        <w:spacing w:before="0" w:after="0"/>
        <w:ind w:hanging="283" w:start="1956"/>
        <w:jc w:val="start"/>
        <w:rPr/>
      </w:pPr>
      <w:r>
        <w:rPr/>
        <w:t xml:space="preserve">autonomous </w:t>
      </w:r>
      <w:r>
        <w:rPr/>
        <w:t xml:space="preserve">只有在隔离和一次性授权完成后才可启用。 </w:t>
      </w:r>
    </w:p>
    <w:p>
      <w:pPr>
        <w:pStyle w:val="BodyText"/>
        <w:numPr>
          <w:ilvl w:val="0"/>
          <w:numId w:val="3"/>
        </w:numPr>
        <w:tabs>
          <w:tab w:val="clear" w:pos="1134"/>
          <w:tab w:val="left" w:pos="1956" w:leader="none"/>
        </w:tabs>
        <w:bidi w:val="0"/>
        <w:spacing w:before="0" w:after="0"/>
        <w:ind w:hanging="283" w:start="1956"/>
        <w:jc w:val="start"/>
        <w:rPr/>
      </w:pPr>
      <w:r>
        <w:rPr/>
        <w:t xml:space="preserve">OS/container </w:t>
      </w:r>
      <w:r>
        <w:rPr/>
        <w:t xml:space="preserve">边界、受保护凭证路径、预算和审计不可关闭。 </w:t>
      </w:r>
    </w:p>
    <w:p>
      <w:pPr>
        <w:pStyle w:val="BodyText"/>
        <w:numPr>
          <w:ilvl w:val="0"/>
          <w:numId w:val="3"/>
        </w:numPr>
        <w:tabs>
          <w:tab w:val="clear" w:pos="1134"/>
          <w:tab w:val="left" w:pos="1956" w:leader="none"/>
        </w:tabs>
        <w:bidi w:val="0"/>
        <w:ind w:hanging="283" w:start="1956"/>
        <w:jc w:val="start"/>
        <w:rPr/>
      </w:pPr>
      <w:r>
        <w:rPr/>
        <w:t xml:space="preserve">工具缺失时返回结构化诊断，不回退到任意 </w:t>
      </w:r>
      <w:r>
        <w:rPr/>
        <w:t>Shell</w:t>
      </w:r>
      <w:r>
        <w:rPr/>
        <w:t xml:space="preserve">。 </w:t>
      </w:r>
    </w:p>
    <w:p>
      <w:pPr>
        <w:pStyle w:val="Heading3"/>
        <w:bidi w:val="0"/>
        <w:jc w:val="start"/>
        <w:rPr/>
      </w:pPr>
      <w:r>
        <w:rPr/>
        <w:t xml:space="preserve">3.3 </w:t>
      </w:r>
      <w:r>
        <w:rPr/>
        <w:t>兼容目标</w:t>
      </w:r>
    </w:p>
    <w:p>
      <w:pPr>
        <w:pStyle w:val="BodyText"/>
        <w:numPr>
          <w:ilvl w:val="0"/>
          <w:numId w:val="4"/>
        </w:numPr>
        <w:tabs>
          <w:tab w:val="clear" w:pos="1134"/>
          <w:tab w:val="left" w:pos="1956" w:leader="none"/>
        </w:tabs>
        <w:bidi w:val="0"/>
        <w:spacing w:before="0" w:after="0"/>
        <w:ind w:hanging="283" w:start="1956"/>
        <w:jc w:val="start"/>
        <w:rPr/>
      </w:pPr>
      <w:r>
        <w:rPr/>
        <w:t xml:space="preserve">Coding </w:t>
      </w:r>
      <w:r>
        <w:rPr/>
        <w:t xml:space="preserve">仍为默认模式，旧 </w:t>
      </w:r>
      <w:r>
        <w:rPr/>
        <w:t xml:space="preserve">Session </w:t>
      </w:r>
      <w:r>
        <w:rPr/>
        <w:t xml:space="preserve">缺少 </w:t>
      </w:r>
      <w:r>
        <w:rPr>
          <w:rStyle w:val="SourceText"/>
        </w:rPr>
        <w:t>agentMode</w:t>
      </w:r>
      <w:r>
        <w:rPr/>
        <w:t xml:space="preserve"> </w:t>
      </w:r>
      <w:r>
        <w:rPr/>
        <w:t xml:space="preserve">时按 </w:t>
      </w:r>
      <w:r>
        <w:rPr/>
        <w:t xml:space="preserve">coding </w:t>
      </w:r>
      <w:r>
        <w:rPr/>
        <w:t xml:space="preserve">处理。 </w:t>
      </w:r>
    </w:p>
    <w:p>
      <w:pPr>
        <w:pStyle w:val="BodyText"/>
        <w:numPr>
          <w:ilvl w:val="0"/>
          <w:numId w:val="4"/>
        </w:numPr>
        <w:tabs>
          <w:tab w:val="clear" w:pos="1134"/>
          <w:tab w:val="left" w:pos="1956" w:leader="none"/>
        </w:tabs>
        <w:bidi w:val="0"/>
        <w:spacing w:before="0" w:after="0"/>
        <w:ind w:hanging="283" w:start="1956"/>
        <w:jc w:val="start"/>
        <w:rPr/>
      </w:pPr>
      <w:r>
        <w:rPr/>
        <w:t xml:space="preserve">Coding Session </w:t>
      </w:r>
      <w:r>
        <w:rPr/>
        <w:t xml:space="preserve">不加载 </w:t>
      </w:r>
      <w:r>
        <w:rPr/>
        <w:t xml:space="preserve">SecAgent </w:t>
      </w:r>
      <w:r>
        <w:rPr/>
        <w:t xml:space="preserve">资源和 </w:t>
      </w:r>
      <w:r>
        <w:rPr/>
        <w:t xml:space="preserve">Sec </w:t>
      </w:r>
      <w:r>
        <w:rPr/>
        <w:t xml:space="preserve">专用运行包。 </w:t>
      </w:r>
    </w:p>
    <w:p>
      <w:pPr>
        <w:pStyle w:val="BodyText"/>
        <w:numPr>
          <w:ilvl w:val="0"/>
          <w:numId w:val="4"/>
        </w:numPr>
        <w:tabs>
          <w:tab w:val="clear" w:pos="1134"/>
          <w:tab w:val="left" w:pos="1956" w:leader="none"/>
        </w:tabs>
        <w:bidi w:val="0"/>
        <w:spacing w:before="0" w:after="0"/>
        <w:ind w:hanging="283" w:start="1956"/>
        <w:jc w:val="start"/>
        <w:rPr/>
      </w:pPr>
      <w:r>
        <w:rPr/>
        <w:t xml:space="preserve">Session </w:t>
      </w:r>
      <w:r>
        <w:rPr/>
        <w:t xml:space="preserve">模式固定；切换模式创建同一 </w:t>
      </w:r>
      <w:r>
        <w:rPr/>
        <w:t xml:space="preserve">cwd </w:t>
      </w:r>
      <w:r>
        <w:rPr/>
        <w:t xml:space="preserve">的空白 </w:t>
      </w:r>
      <w:r>
        <w:rPr/>
        <w:t>Session</w:t>
      </w:r>
      <w:r>
        <w:rPr/>
        <w:t xml:space="preserve">，不复制旧历史。 </w:t>
      </w:r>
    </w:p>
    <w:p>
      <w:pPr>
        <w:pStyle w:val="BodyText"/>
        <w:numPr>
          <w:ilvl w:val="0"/>
          <w:numId w:val="4"/>
        </w:numPr>
        <w:tabs>
          <w:tab w:val="clear" w:pos="1134"/>
          <w:tab w:val="left" w:pos="1956" w:leader="none"/>
        </w:tabs>
        <w:bidi w:val="0"/>
        <w:ind w:hanging="283" w:start="1956"/>
        <w:jc w:val="start"/>
        <w:rPr/>
      </w:pPr>
      <w:r>
        <w:rPr/>
        <w:t xml:space="preserve">CLI </w:t>
      </w:r>
      <w:r>
        <w:rPr/>
        <w:t xml:space="preserve">和 </w:t>
      </w:r>
      <w:r>
        <w:rPr/>
        <w:t xml:space="preserve">Web </w:t>
      </w:r>
      <w:r>
        <w:rPr/>
        <w:t xml:space="preserve">通过同一个 </w:t>
      </w:r>
      <w:r>
        <w:rPr>
          <w:rStyle w:val="SourceText"/>
        </w:rPr>
        <w:t>SecAgentRuntime</w:t>
      </w:r>
      <w:r>
        <w:rPr/>
        <w:t xml:space="preserve"> </w:t>
      </w:r>
      <w:r>
        <w:rPr/>
        <w:t xml:space="preserve">读取和修改安全状态。 </w:t>
      </w:r>
    </w:p>
    <w:p>
      <w:pPr>
        <w:pStyle w:val="Heading2"/>
        <w:bidi w:val="0"/>
        <w:jc w:val="start"/>
        <w:rPr/>
      </w:pPr>
      <w:r>
        <w:rPr/>
        <w:t xml:space="preserve">4. </w:t>
      </w:r>
      <w:r>
        <w:rPr/>
        <w:t>总体架构</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CLI / Pi Web                                                │</w:t>
      </w:r>
    </w:p>
    <w:p>
      <w:pPr>
        <w:pStyle w:val="PreformattedText"/>
        <w:bidi w:val="0"/>
        <w:jc w:val="start"/>
        <w:rPr/>
      </w:pPr>
      <w:r>
        <w:rPr>
          <w:rStyle w:val="SourceText"/>
        </w:rPr>
        <w:t xml:space="preserve">│ </w:t>
      </w:r>
      <w:r>
        <w:rPr>
          <w:rStyle w:val="SourceText"/>
        </w:rPr>
        <w:t>mode selector · profile API · SSE · report download          │</w:t>
      </w:r>
    </w:p>
    <w:p>
      <w:pPr>
        <w:pStyle w:val="PreformattedText"/>
        <w:bidi w:val="0"/>
        <w:jc w:val="start"/>
        <w:rPr/>
      </w:pPr>
      <w:r>
        <w:rPr>
          <w:rStyle w:val="SourceText"/>
        </w:rPr>
        <w:t>└──────────────────────────────┬──────────────────────────────┘</w:t>
      </w:r>
    </w:p>
    <w:p>
      <w:pPr>
        <w:pStyle w:val="PreformattedText"/>
        <w:bidi w:val="0"/>
        <w:jc w:val="start"/>
        <w:rPr/>
      </w:pPr>
      <w:r>
        <w:rPr>
          <w:rStyle w:val="SourceText"/>
        </w:rPr>
        <w:t xml:space="preserve">                               │ </w:t>
      </w:r>
      <w:r>
        <w:rPr>
          <w:rStyle w:val="SourceText"/>
        </w:rPr>
        <w:t>AgentSession/Profile boundary</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SecAgentRuntime                                               │</w:t>
      </w:r>
    </w:p>
    <w:p>
      <w:pPr>
        <w:pStyle w:val="PreformattedText"/>
        <w:bidi w:val="0"/>
        <w:jc w:val="start"/>
        <w:rPr/>
      </w:pPr>
      <w:r>
        <w:rPr>
          <w:rStyle w:val="SourceText"/>
        </w:rPr>
        <w:t xml:space="preserve">│ </w:t>
      </w:r>
      <w:r>
        <w:rPr>
          <w:rStyle w:val="SourceText"/>
        </w:rPr>
        <w:t>snapshot · command · subscribe · event-sourced state          │</w:t>
      </w:r>
    </w:p>
    <w:p>
      <w:pPr>
        <w:pStyle w:val="PreformattedText"/>
        <w:bidi w:val="0"/>
        <w:jc w:val="start"/>
        <w:rPr/>
      </w:pPr>
      <w:r>
        <w:rPr>
          <w:rStyle w:val="SourceText"/>
        </w:rPr>
        <w:t>└──────────────┬─────────────────────────┬─────────────────────┘</w:t>
      </w:r>
    </w:p>
    <w:p>
      <w:pPr>
        <w:pStyle w:val="PreformattedText"/>
        <w:bidi w:val="0"/>
        <w:jc w:val="start"/>
        <w:rPr/>
      </w:pPr>
      <w:r>
        <w:rPr>
          <w:rStyle w:val="SourceText"/>
        </w:rPr>
        <w:t xml:space="preserve">               │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Security extensions         │ │ Security decision kernel      │</w:t>
      </w:r>
    </w:p>
    <w:p>
      <w:pPr>
        <w:pStyle w:val="PreformattedText"/>
        <w:bidi w:val="0"/>
        <w:jc w:val="start"/>
        <w:rPr/>
      </w:pPr>
      <w:r>
        <w:rPr>
          <w:rStyle w:val="SourceText"/>
        </w:rPr>
        <w:t xml:space="preserve">│ </w:t>
      </w:r>
      <w:r>
        <w:rPr>
          <w:rStyle w:val="SourceText"/>
        </w:rPr>
        <w:t>intake/scope/policy/tools   │ │ candidates/planner/replanner  │</w:t>
      </w:r>
    </w:p>
    <w:p>
      <w:pPr>
        <w:pStyle w:val="PreformattedText"/>
        <w:bidi w:val="0"/>
        <w:jc w:val="start"/>
        <w:rPr/>
      </w:pPr>
      <w:r>
        <w:rPr>
          <w:rStyle w:val="SourceText"/>
        </w:rPr>
        <w:t xml:space="preserve">│ </w:t>
      </w:r>
      <w:r>
        <w:rPr>
          <w:rStyle w:val="SourceText"/>
        </w:rPr>
        <w:t>evidence/report/benchmark   │ │ observer/verifier/budget      │</w:t>
      </w:r>
    </w:p>
    <w:p>
      <w:pPr>
        <w:pStyle w:val="PreformattedText"/>
        <w:bidi w:val="0"/>
        <w:jc w:val="start"/>
        <w:rPr/>
      </w:pPr>
      <w:r>
        <w:rPr>
          <w:rStyle w:val="SourceText"/>
        </w:rPr>
        <w:t>└──────────────┬─────────────┘ └─────────┬────────────────────┘</w:t>
      </w:r>
    </w:p>
    <w:p>
      <w:pPr>
        <w:pStyle w:val="PreformattedText"/>
        <w:bidi w:val="0"/>
        <w:jc w:val="start"/>
        <w:rPr/>
      </w:pPr>
      <w:r>
        <w:rPr>
          <w:rStyle w:val="SourceText"/>
        </w:rPr>
        <w:t xml:space="preserve">               │                         │</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SecurityExecutionGateway                                     │</w:t>
      </w:r>
    </w:p>
    <w:p>
      <w:pPr>
        <w:pStyle w:val="PreformattedText"/>
        <w:bidi w:val="0"/>
        <w:jc w:val="start"/>
        <w:rPr/>
      </w:pPr>
      <w:r>
        <w:rPr>
          <w:rStyle w:val="SourceText"/>
        </w:rPr>
        <w:t xml:space="preserve">│ </w:t>
      </w:r>
      <w:r>
        <w:rPr>
          <w:rStyle w:val="SourceText"/>
        </w:rPr>
        <w:t>registry → preconditions → scope/policy → adapter → audit     │</w:t>
      </w:r>
    </w:p>
    <w:p>
      <w:pPr>
        <w:pStyle w:val="PreformattedText"/>
        <w:bidi w:val="0"/>
        <w:jc w:val="start"/>
        <w:rPr/>
      </w:pPr>
      <w:r>
        <w:rPr>
          <w:rStyle w:val="SourceText"/>
        </w:rPr>
        <w:t>└──────────────┬─────────────────────────┬─────────────────────┘</w:t>
      </w:r>
    </w:p>
    <w:p>
      <w:pPr>
        <w:pStyle w:val="PreformattedText"/>
        <w:bidi w:val="0"/>
        <w:jc w:val="start"/>
        <w:rPr/>
      </w:pPr>
      <w:r>
        <w:rPr>
          <w:rStyle w:val="SourceText"/>
        </w:rPr>
        <w:t xml:space="preserve">               │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Registered CLI adapters     │ │ MCP / specialist integrations  │</w:t>
      </w:r>
    </w:p>
    <w:p>
      <w:pPr>
        <w:pStyle w:val="PreformattedText"/>
        <w:bidi w:val="0"/>
        <w:jc w:val="start"/>
        <w:rPr/>
      </w:pPr>
      <w:r>
        <w:rPr>
          <w:rStyle w:val="SourceText"/>
        </w:rPr>
        <w:t xml:space="preserve">│ </w:t>
      </w:r>
      <w:r>
        <w:rPr>
          <w:rStyle w:val="SourceText"/>
        </w:rPr>
        <w:t>nmap/curl/static/forensics  │ │ bounded child sessions          │</w:t>
      </w:r>
    </w:p>
    <w:p>
      <w:pPr>
        <w:pStyle w:val="PreformattedText"/>
        <w:bidi w:val="0"/>
        <w:spacing w:before="1247" w:after="283"/>
        <w:jc w:val="start"/>
        <w:rPr/>
      </w:pPr>
      <w:r>
        <w:rPr>
          <w:rStyle w:val="SourceText"/>
        </w:rPr>
        <w:t>└─────────────────────────────┘ └────────────────────────────────┘</w:t>
      </w:r>
    </w:p>
    <w:p>
      <w:pPr>
        <w:pStyle w:val="BodyText"/>
        <w:bidi w:val="0"/>
        <w:jc w:val="start"/>
        <w:rPr/>
      </w:pPr>
      <w:r>
        <w:rPr/>
        <w:t xml:space="preserve">Pi </w:t>
      </w:r>
      <w:r>
        <w:rPr/>
        <w:t xml:space="preserve">的通用 </w:t>
      </w:r>
      <w:r>
        <w:rPr/>
        <w:t>Agent Loop</w:t>
      </w:r>
      <w:r>
        <w:rPr/>
        <w:t>、模型、</w:t>
      </w:r>
      <w:r>
        <w:rPr/>
        <w:t>Session</w:t>
      </w:r>
      <w:r>
        <w:rPr/>
        <w:t xml:space="preserve">、扩展加载和 </w:t>
      </w:r>
      <w:r>
        <w:rPr/>
        <w:t xml:space="preserve">UI </w:t>
      </w:r>
      <w:r>
        <w:rPr/>
        <w:t>请求机制保持不变。</w:t>
      </w:r>
      <w:r>
        <w:rPr/>
        <w:t xml:space="preserve">SecAgent </w:t>
      </w:r>
      <w:r>
        <w:rPr/>
        <w:t xml:space="preserve">只实现安全语义，并通过 </w:t>
      </w:r>
      <w:r>
        <w:rPr/>
        <w:t xml:space="preserve">Profile </w:t>
      </w:r>
      <w:r>
        <w:rPr/>
        <w:t>扩展接入。</w:t>
      </w:r>
    </w:p>
    <w:p>
      <w:pPr>
        <w:pStyle w:val="Heading2"/>
        <w:bidi w:val="0"/>
        <w:jc w:val="start"/>
        <w:rPr/>
      </w:pPr>
      <w:r>
        <w:rPr/>
        <w:t xml:space="preserve">5. </w:t>
      </w:r>
      <w:r>
        <w:rPr/>
        <w:t>双模式与包边界</w:t>
      </w:r>
    </w:p>
    <w:p>
      <w:pPr>
        <w:pStyle w:val="Heading3"/>
        <w:bidi w:val="0"/>
        <w:jc w:val="start"/>
        <w:rPr/>
      </w:pPr>
      <w:r>
        <w:rPr/>
        <w:t xml:space="preserve">5.1 </w:t>
      </w:r>
      <w:r>
        <w:rPr/>
        <w:t>模式关系</w:t>
      </w:r>
    </w:p>
    <w:p>
      <w:pPr>
        <w:pStyle w:val="PreformattedText"/>
        <w:bidi w:val="0"/>
        <w:jc w:val="start"/>
        <w:rPr/>
      </w:pPr>
      <w:r>
        <w:rPr>
          <w:rStyle w:val="SourceText"/>
        </w:rPr>
        <w:t>pi                         -&gt; coding profile -&gt; normal coding tools</w:t>
      </w:r>
    </w:p>
    <w:p>
      <w:pPr>
        <w:pStyle w:val="PreformattedText"/>
        <w:bidi w:val="0"/>
        <w:spacing w:before="1247" w:after="283"/>
        <w:jc w:val="start"/>
        <w:rPr/>
      </w:pPr>
      <w:r>
        <w:rPr>
          <w:rStyle w:val="SourceText"/>
        </w:rPr>
        <w:t>pi --agent-mode sec        -&gt; sec profile    -&gt; SecAgentRuntime + security extensions</w:t>
      </w:r>
    </w:p>
    <w:p>
      <w:pPr>
        <w:pStyle w:val="BodyText"/>
        <w:bidi w:val="0"/>
        <w:jc w:val="start"/>
        <w:rPr/>
      </w:pPr>
      <w:r>
        <w:rPr>
          <w:rStyle w:val="SourceText"/>
        </w:rPr>
        <w:t>agentMode</w:t>
      </w:r>
      <w:r>
        <w:rPr/>
        <w:t xml:space="preserve"> </w:t>
      </w:r>
      <w:r>
        <w:rPr/>
        <w:t xml:space="preserve">写入 </w:t>
      </w:r>
      <w:r>
        <w:rPr/>
        <w:t>Session header</w:t>
      </w:r>
      <w:r>
        <w:rPr/>
        <w:t>。恢复、</w:t>
      </w:r>
      <w:r>
        <w:rPr/>
        <w:t xml:space="preserve">fork </w:t>
      </w:r>
      <w:r>
        <w:rPr/>
        <w:t>和导入保持原模式；显式模式与持久化模式冲突时拒绝启动。</w:t>
      </w:r>
      <w:r>
        <w:rPr/>
        <w:t xml:space="preserve">Web </w:t>
      </w:r>
      <w:r>
        <w:rPr/>
        <w:t xml:space="preserve">的模式选择器只影响新 </w:t>
      </w:r>
      <w:r>
        <w:rPr/>
        <w:t>Session</w:t>
      </w:r>
      <w:r>
        <w:rPr/>
        <w:t xml:space="preserve">，不会把历史 </w:t>
      </w:r>
      <w:r>
        <w:rPr/>
        <w:t xml:space="preserve">Session </w:t>
      </w:r>
      <w:r>
        <w:rPr/>
        <w:t>转换成另一种模式。</w:t>
      </w:r>
    </w:p>
    <w:p>
      <w:pPr>
        <w:pStyle w:val="Heading3"/>
        <w:bidi w:val="0"/>
        <w:jc w:val="start"/>
        <w:rPr/>
      </w:pPr>
      <w:r>
        <w:rPr/>
        <w:t xml:space="preserve">5.2 </w:t>
      </w:r>
      <w:r>
        <w:rPr/>
        <w:t>包职责</w:t>
      </w:r>
    </w:p>
    <w:tbl>
      <w:tblPr>
        <w:tblW w:w="10905" w:type="dxa"/>
        <w:jc w:val="start"/>
        <w:tblInd w:w="0" w:type="dxa"/>
        <w:tblLayout w:type="fixed"/>
        <w:tblCellMar>
          <w:top w:w="28" w:type="dxa"/>
          <w:start w:w="28" w:type="dxa"/>
          <w:bottom w:w="28" w:type="dxa"/>
          <w:end w:w="28" w:type="dxa"/>
        </w:tblCellMar>
      </w:tblPr>
      <w:tblGrid>
        <w:gridCol w:w="5102"/>
        <w:gridCol w:w="5803"/>
      </w:tblGrid>
      <w:tr>
        <w:trPr>
          <w:tblHeader w:val="true"/>
        </w:trPr>
        <w:tc>
          <w:tcPr>
            <w:tcW w:w="5102" w:type="dxa"/>
            <w:tcBorders/>
            <w:vAlign w:val="center"/>
          </w:tcPr>
          <w:p>
            <w:pPr>
              <w:pStyle w:val="TableHeading"/>
              <w:suppressLineNumbers/>
              <w:shd w:fill="E8F1F8" w:val="clear"/>
              <w:bidi w:val="0"/>
              <w:spacing w:before="0" w:after="283"/>
              <w:jc w:val="center"/>
              <w:rPr/>
            </w:pPr>
            <w:r>
              <w:rPr/>
              <w:t>包</w:t>
            </w:r>
          </w:p>
        </w:tc>
        <w:tc>
          <w:tcPr>
            <w:tcW w:w="5803" w:type="dxa"/>
            <w:tcBorders/>
            <w:vAlign w:val="center"/>
          </w:tcPr>
          <w:p>
            <w:pPr>
              <w:pStyle w:val="TableHeading"/>
              <w:suppressLineNumbers/>
              <w:shd w:fill="E8F1F8" w:val="clear"/>
              <w:bidi w:val="0"/>
              <w:spacing w:before="0" w:after="283"/>
              <w:jc w:val="center"/>
              <w:rPr/>
            </w:pPr>
            <w:r>
              <w:rPr/>
              <w:t>职责</w:t>
            </w:r>
          </w:p>
        </w:tc>
      </w:tr>
      <w:tr>
        <w:trPr/>
        <w:tc>
          <w:tcPr>
            <w:tcW w:w="5102" w:type="dxa"/>
            <w:tcBorders/>
            <w:vAlign w:val="center"/>
          </w:tcPr>
          <w:p>
            <w:pPr>
              <w:pStyle w:val="TableContents"/>
              <w:bidi w:val="0"/>
              <w:spacing w:before="0" w:after="283"/>
              <w:jc w:val="start"/>
              <w:rPr/>
            </w:pPr>
            <w:r>
              <w:rPr>
                <w:rStyle w:val="SourceText"/>
              </w:rPr>
              <w:t>@earendil-works/pi-agent</w:t>
            </w:r>
          </w:p>
        </w:tc>
        <w:tc>
          <w:tcPr>
            <w:tcW w:w="5803" w:type="dxa"/>
            <w:tcBorders/>
            <w:vAlign w:val="center"/>
          </w:tcPr>
          <w:p>
            <w:pPr>
              <w:pStyle w:val="TableContents"/>
              <w:bidi w:val="0"/>
              <w:spacing w:before="0" w:after="283"/>
              <w:jc w:val="start"/>
              <w:rPr/>
            </w:pPr>
            <w:r>
              <w:rPr/>
              <w:t xml:space="preserve">低层 </w:t>
            </w:r>
            <w:r>
              <w:rPr/>
              <w:t>Agent Loop</w:t>
            </w:r>
            <w:r>
              <w:rPr/>
              <w:t>、消息和工具调用生命周期</w:t>
            </w:r>
          </w:p>
        </w:tc>
      </w:tr>
      <w:tr>
        <w:trPr/>
        <w:tc>
          <w:tcPr>
            <w:tcW w:w="5102" w:type="dxa"/>
            <w:tcBorders/>
            <w:vAlign w:val="center"/>
          </w:tcPr>
          <w:p>
            <w:pPr>
              <w:pStyle w:val="TableContents"/>
              <w:bidi w:val="0"/>
              <w:spacing w:before="0" w:after="283"/>
              <w:jc w:val="start"/>
              <w:rPr/>
            </w:pPr>
            <w:r>
              <w:rPr>
                <w:rStyle w:val="SourceText"/>
              </w:rPr>
              <w:t>@earendil-works/pi-coding-agent</w:t>
            </w:r>
          </w:p>
        </w:tc>
        <w:tc>
          <w:tcPr>
            <w:tcW w:w="5803" w:type="dxa"/>
            <w:tcBorders/>
            <w:vAlign w:val="center"/>
          </w:tcPr>
          <w:p>
            <w:pPr>
              <w:pStyle w:val="TableContents"/>
              <w:bidi w:val="0"/>
              <w:spacing w:before="0" w:after="283"/>
              <w:jc w:val="start"/>
              <w:rPr/>
            </w:pPr>
            <w:r>
              <w:rPr/>
              <w:t>CLI</w:t>
            </w:r>
            <w:r>
              <w:rPr/>
              <w:t>、</w:t>
            </w:r>
            <w:r>
              <w:rPr/>
              <w:t>AgentSession</w:t>
            </w:r>
            <w:r>
              <w:rPr/>
              <w:t>、</w:t>
            </w:r>
            <w:r>
              <w:rPr/>
              <w:t xml:space="preserve">Profile </w:t>
            </w:r>
            <w:r>
              <w:rPr/>
              <w:t>选择、</w:t>
            </w:r>
            <w:r>
              <w:rPr/>
              <w:t xml:space="preserve">Coding/Sec </w:t>
            </w:r>
            <w:r>
              <w:rPr/>
              <w:t>启动入口</w:t>
            </w:r>
          </w:p>
        </w:tc>
      </w:tr>
      <w:tr>
        <w:trPr/>
        <w:tc>
          <w:tcPr>
            <w:tcW w:w="5102" w:type="dxa"/>
            <w:tcBorders/>
            <w:vAlign w:val="center"/>
          </w:tcPr>
          <w:p>
            <w:pPr>
              <w:pStyle w:val="TableContents"/>
              <w:bidi w:val="0"/>
              <w:spacing w:before="0" w:after="283"/>
              <w:jc w:val="start"/>
              <w:rPr/>
            </w:pPr>
            <w:r>
              <w:rPr>
                <w:rStyle w:val="SourceText"/>
              </w:rPr>
              <w:t>@earendil-works/pi-secagent</w:t>
            </w:r>
          </w:p>
        </w:tc>
        <w:tc>
          <w:tcPr>
            <w:tcW w:w="5803" w:type="dxa"/>
            <w:tcBorders/>
            <w:vAlign w:val="center"/>
          </w:tcPr>
          <w:p>
            <w:pPr>
              <w:pStyle w:val="TableContents"/>
              <w:bidi w:val="0"/>
              <w:spacing w:before="0" w:after="283"/>
              <w:jc w:val="start"/>
              <w:rPr/>
            </w:pPr>
            <w:r>
              <w:rPr/>
              <w:t>安全任务、状态、策略、工具适配、证据、报告和比赛基准</w:t>
            </w:r>
          </w:p>
        </w:tc>
      </w:tr>
      <w:tr>
        <w:trPr/>
        <w:tc>
          <w:tcPr>
            <w:tcW w:w="5102" w:type="dxa"/>
            <w:tcBorders/>
            <w:vAlign w:val="center"/>
          </w:tcPr>
          <w:p>
            <w:pPr>
              <w:pStyle w:val="TableContents"/>
              <w:bidi w:val="0"/>
              <w:spacing w:before="0" w:after="283"/>
              <w:jc w:val="start"/>
              <w:rPr/>
            </w:pPr>
            <w:r>
              <w:rPr>
                <w:rStyle w:val="SourceText"/>
              </w:rPr>
              <w:t>@agegr/pi-web</w:t>
            </w:r>
          </w:p>
        </w:tc>
        <w:tc>
          <w:tcPr>
            <w:tcW w:w="5803" w:type="dxa"/>
            <w:tcBorders/>
            <w:vAlign w:val="center"/>
          </w:tcPr>
          <w:p>
            <w:pPr>
              <w:pStyle w:val="TableContents"/>
              <w:bidi w:val="0"/>
              <w:spacing w:before="0" w:after="283"/>
              <w:jc w:val="start"/>
              <w:rPr/>
            </w:pPr>
            <w:r>
              <w:rPr/>
              <w:t xml:space="preserve">浏览器 </w:t>
            </w:r>
            <w:r>
              <w:rPr/>
              <w:t>UI</w:t>
            </w:r>
            <w:r>
              <w:rPr/>
              <w:t>、</w:t>
            </w:r>
            <w:r>
              <w:rPr/>
              <w:t>Session API</w:t>
            </w:r>
            <w:r>
              <w:rPr/>
              <w:t>、</w:t>
            </w:r>
            <w:r>
              <w:rPr/>
              <w:t>Profile API</w:t>
            </w:r>
            <w:r>
              <w:rPr/>
              <w:t xml:space="preserve">、安全工作区和 </w:t>
            </w:r>
            <w:r>
              <w:rPr/>
              <w:t>SSE</w:t>
            </w:r>
          </w:p>
        </w:tc>
      </w:tr>
      <w:tr>
        <w:trPr/>
        <w:tc>
          <w:tcPr>
            <w:tcW w:w="5102" w:type="dxa"/>
            <w:tcBorders/>
            <w:vAlign w:val="center"/>
          </w:tcPr>
          <w:p>
            <w:pPr>
              <w:pStyle w:val="TableContents"/>
              <w:bidi w:val="0"/>
              <w:spacing w:before="0" w:after="283"/>
              <w:jc w:val="start"/>
              <w:rPr/>
            </w:pPr>
            <w:r>
              <w:rPr>
                <w:rStyle w:val="SourceText"/>
              </w:rPr>
              <w:t>pi-sandbox</w:t>
            </w:r>
          </w:p>
        </w:tc>
        <w:tc>
          <w:tcPr>
            <w:tcW w:w="5803" w:type="dxa"/>
            <w:tcBorders/>
            <w:vAlign w:val="center"/>
          </w:tcPr>
          <w:p>
            <w:pPr>
              <w:pStyle w:val="TableContents"/>
              <w:bidi w:val="0"/>
              <w:spacing w:before="0" w:after="283"/>
              <w:jc w:val="start"/>
              <w:rPr/>
            </w:pPr>
            <w:r>
              <w:rPr/>
              <w:t xml:space="preserve">Sec </w:t>
            </w:r>
            <w:r>
              <w:rPr/>
              <w:t xml:space="preserve">模式可选的 </w:t>
            </w:r>
            <w:r>
              <w:rPr/>
              <w:t>OS/</w:t>
            </w:r>
            <w:r>
              <w:rPr/>
              <w:t>文件</w:t>
            </w:r>
            <w:r>
              <w:rPr/>
              <w:t>/</w:t>
            </w:r>
            <w:r>
              <w:rPr/>
              <w:t>网络隔离能力</w:t>
            </w:r>
          </w:p>
        </w:tc>
      </w:tr>
      <w:tr>
        <w:trPr/>
        <w:tc>
          <w:tcPr>
            <w:tcW w:w="5102" w:type="dxa"/>
            <w:tcBorders/>
            <w:vAlign w:val="center"/>
          </w:tcPr>
          <w:p>
            <w:pPr>
              <w:pStyle w:val="TableContents"/>
              <w:bidi w:val="0"/>
              <w:spacing w:before="0" w:after="283"/>
              <w:jc w:val="start"/>
              <w:rPr/>
            </w:pPr>
            <w:r>
              <w:rPr>
                <w:rStyle w:val="SourceText"/>
              </w:rPr>
              <w:t>pi-mcp-adapter</w:t>
            </w:r>
          </w:p>
        </w:tc>
        <w:tc>
          <w:tcPr>
            <w:tcW w:w="5803" w:type="dxa"/>
            <w:tcBorders/>
            <w:vAlign w:val="center"/>
          </w:tcPr>
          <w:p>
            <w:pPr>
              <w:pStyle w:val="TableContents"/>
              <w:bidi w:val="0"/>
              <w:spacing w:before="0" w:after="283"/>
              <w:jc w:val="start"/>
              <w:rPr/>
            </w:pPr>
            <w:r>
              <w:rPr/>
              <w:t xml:space="preserve">MCP </w:t>
            </w:r>
            <w:r>
              <w:rPr/>
              <w:t>传输和工具发现</w:t>
            </w:r>
          </w:p>
        </w:tc>
      </w:tr>
      <w:tr>
        <w:trPr/>
        <w:tc>
          <w:tcPr>
            <w:tcW w:w="5102" w:type="dxa"/>
            <w:tcBorders/>
            <w:vAlign w:val="center"/>
          </w:tcPr>
          <w:p>
            <w:pPr>
              <w:pStyle w:val="TableContents"/>
              <w:bidi w:val="0"/>
              <w:spacing w:before="0" w:after="283"/>
              <w:jc w:val="start"/>
              <w:rPr/>
            </w:pPr>
            <w:r>
              <w:rPr>
                <w:rStyle w:val="SourceText"/>
              </w:rPr>
              <w:t>pi-subagents</w:t>
            </w:r>
          </w:p>
        </w:tc>
        <w:tc>
          <w:tcPr>
            <w:tcW w:w="5803" w:type="dxa"/>
            <w:tcBorders/>
            <w:vAlign w:val="center"/>
          </w:tcPr>
          <w:p>
            <w:pPr>
              <w:pStyle w:val="TableContents"/>
              <w:bidi w:val="0"/>
              <w:spacing w:before="0" w:after="283"/>
              <w:jc w:val="start"/>
              <w:rPr/>
            </w:pPr>
            <w:r>
              <w:rPr/>
              <w:t xml:space="preserve">有界专业子 </w:t>
            </w:r>
            <w:r>
              <w:rPr/>
              <w:t xml:space="preserve">Agent </w:t>
            </w:r>
            <w:r>
              <w:rPr/>
              <w:t>会话</w:t>
            </w:r>
          </w:p>
        </w:tc>
      </w:tr>
      <w:tr>
        <w:trPr/>
        <w:tc>
          <w:tcPr>
            <w:tcW w:w="5102" w:type="dxa"/>
            <w:tcBorders/>
            <w:vAlign w:val="center"/>
          </w:tcPr>
          <w:p>
            <w:pPr>
              <w:pStyle w:val="TableContents"/>
              <w:bidi w:val="0"/>
              <w:spacing w:before="0" w:after="283"/>
              <w:jc w:val="start"/>
              <w:rPr/>
            </w:pPr>
            <w:r>
              <w:rPr>
                <w:rStyle w:val="SourceText"/>
              </w:rPr>
              <w:t>pi-trace-extension</w:t>
            </w:r>
          </w:p>
        </w:tc>
        <w:tc>
          <w:tcPr>
            <w:tcW w:w="5803" w:type="dxa"/>
            <w:tcBorders/>
            <w:vAlign w:val="center"/>
          </w:tcPr>
          <w:p>
            <w:pPr>
              <w:pStyle w:val="TableContents"/>
              <w:bidi w:val="0"/>
              <w:spacing w:before="0" w:after="283"/>
              <w:jc w:val="start"/>
              <w:rPr/>
            </w:pPr>
            <w:r>
              <w:rPr/>
              <w:t>通用执行追踪</w:t>
            </w:r>
          </w:p>
        </w:tc>
      </w:tr>
    </w:tbl>
    <w:p>
      <w:pPr>
        <w:pStyle w:val="BodyText"/>
        <w:bidi w:val="0"/>
        <w:jc w:val="start"/>
        <w:rPr/>
      </w:pPr>
      <w:r>
        <w:rPr/>
        <w:t xml:space="preserve">依赖方向保持为 </w:t>
      </w:r>
      <w:r>
        <w:rPr>
          <w:rStyle w:val="SourceText"/>
        </w:rPr>
        <w:t>coding-agent → secagent</w:t>
      </w:r>
      <w:r>
        <w:rPr/>
        <w:t>。</w:t>
      </w:r>
      <w:r>
        <w:rPr/>
        <w:t xml:space="preserve">SecAgent </w:t>
      </w:r>
      <w:r>
        <w:rPr/>
        <w:t xml:space="preserve">不反向依赖 </w:t>
      </w:r>
      <w:r>
        <w:rPr/>
        <w:t xml:space="preserve">Coding Agent </w:t>
      </w:r>
      <w:r>
        <w:rPr/>
        <w:t xml:space="preserve">类型，避免声明依赖环和 </w:t>
      </w:r>
      <w:r>
        <w:rPr/>
        <w:t xml:space="preserve">Web </w:t>
      </w:r>
      <w:r>
        <w:rPr/>
        <w:t xml:space="preserve">旧 </w:t>
      </w:r>
      <w:r>
        <w:rPr/>
        <w:t xml:space="preserve">dist </w:t>
      </w:r>
      <w:r>
        <w:rPr/>
        <w:t>解析问题。</w:t>
      </w:r>
    </w:p>
    <w:p>
      <w:pPr>
        <w:pStyle w:val="Heading2"/>
        <w:bidi w:val="0"/>
        <w:jc w:val="start"/>
        <w:rPr/>
      </w:pPr>
      <w:r>
        <w:rPr/>
        <w:t xml:space="preserve">6. </w:t>
      </w:r>
      <w:r>
        <w:rPr/>
        <w:t>任务理解与输入安全</w:t>
      </w:r>
    </w:p>
    <w:p>
      <w:pPr>
        <w:pStyle w:val="BodyText"/>
        <w:bidi w:val="0"/>
        <w:jc w:val="start"/>
        <w:rPr/>
      </w:pPr>
      <w:r>
        <w:rPr>
          <w:rStyle w:val="SourceText"/>
        </w:rPr>
        <w:t>security_intake</w:t>
      </w:r>
      <w:r>
        <w:rPr/>
        <w:t xml:space="preserve"> </w:t>
      </w:r>
      <w:r>
        <w:rPr/>
        <w:t>将任务归一化为目标和场景、输入资产、约束、成功条件、用户声明的授权信息和仍需确认的事项。</w:t>
      </w:r>
    </w:p>
    <w:p>
      <w:pPr>
        <w:pStyle w:val="BodyText"/>
        <w:bidi w:val="0"/>
        <w:jc w:val="start"/>
        <w:rPr/>
      </w:pPr>
      <w:r>
        <w:rPr/>
        <w:t xml:space="preserve">压缩包处理遵循隔离原则：只写入临时目录，限制文件数、总大小和嵌套深度，拒绝绝对路径、路径穿越和逃逸符号链接。损坏 </w:t>
      </w:r>
      <w:r>
        <w:rPr/>
        <w:t>JSON/YAML/CSV/OpenAPI</w:t>
      </w:r>
      <w:r>
        <w:rPr/>
        <w:t>、超限文件和恶意归档返回结构化错误，不进入执行链。</w:t>
      </w:r>
    </w:p>
    <w:p>
      <w:pPr>
        <w:pStyle w:val="BodyText"/>
        <w:bidi w:val="0"/>
        <w:jc w:val="start"/>
        <w:rPr/>
      </w:pPr>
      <w:r>
        <w:rPr/>
        <w:t xml:space="preserve">附件只提供待分析数据。只有用户或受控比赛环境明确提供的 </w:t>
      </w:r>
      <w:r>
        <w:rPr/>
        <w:t xml:space="preserve">scope </w:t>
      </w:r>
      <w:r>
        <w:rPr/>
        <w:t>才能授权网络和状态变更动作。</w:t>
      </w:r>
    </w:p>
    <w:p>
      <w:pPr>
        <w:pStyle w:val="Heading2"/>
        <w:bidi w:val="0"/>
        <w:jc w:val="start"/>
        <w:rPr/>
      </w:pPr>
      <w:r>
        <w:rPr/>
        <w:t xml:space="preserve">7. </w:t>
      </w:r>
      <w:r>
        <w:rPr/>
        <w:t>自主决策闭环</w:t>
      </w:r>
    </w:p>
    <w:p>
      <w:pPr>
        <w:pStyle w:val="PreformattedText"/>
        <w:bidi w:val="0"/>
        <w:jc w:val="start"/>
        <w:rPr/>
      </w:pPr>
      <w:r>
        <w:rPr>
          <w:rStyle w:val="SourceText"/>
        </w:rPr>
        <w:t>任务理解</w:t>
      </w:r>
    </w:p>
    <w:p>
      <w:pPr>
        <w:pStyle w:val="PreformattedText"/>
        <w:bidi w:val="0"/>
        <w:jc w:val="start"/>
        <w:rPr/>
      </w:pPr>
      <w:r>
        <w:rPr>
          <w:rStyle w:val="SourceText"/>
        </w:rPr>
        <w:t xml:space="preserve">  → </w:t>
      </w:r>
      <w:r>
        <w:rPr>
          <w:rStyle w:val="SourceText"/>
        </w:rPr>
        <w:t>候选动作生成</w:t>
      </w:r>
    </w:p>
    <w:p>
      <w:pPr>
        <w:pStyle w:val="PreformattedText"/>
        <w:bidi w:val="0"/>
        <w:jc w:val="start"/>
        <w:rPr/>
      </w:pPr>
      <w:r>
        <w:rPr>
          <w:rStyle w:val="SourceText"/>
        </w:rPr>
        <w:t xml:space="preserve">  → </w:t>
      </w:r>
      <w:r>
        <w:rPr>
          <w:rStyle w:val="SourceText"/>
        </w:rPr>
        <w:t>风险</w:t>
      </w:r>
      <w:r>
        <w:rPr>
          <w:rStyle w:val="SourceText"/>
        </w:rPr>
        <w:t>/</w:t>
      </w:r>
      <w:r>
        <w:rPr>
          <w:rStyle w:val="SourceText"/>
        </w:rPr>
        <w:t>成本</w:t>
      </w:r>
      <w:r>
        <w:rPr>
          <w:rStyle w:val="SourceText"/>
        </w:rPr>
        <w:t>/</w:t>
      </w:r>
      <w:r>
        <w:rPr>
          <w:rStyle w:val="SourceText"/>
        </w:rPr>
        <w:t>信息增益评分</w:t>
      </w:r>
    </w:p>
    <w:p>
      <w:pPr>
        <w:pStyle w:val="PreformattedText"/>
        <w:bidi w:val="0"/>
        <w:jc w:val="start"/>
        <w:rPr/>
      </w:pPr>
      <w:r>
        <w:rPr>
          <w:rStyle w:val="SourceText"/>
        </w:rPr>
        <w:t xml:space="preserve">  → </w:t>
      </w:r>
      <w:r>
        <w:rPr>
          <w:rStyle w:val="SourceText"/>
        </w:rPr>
        <w:t>计划与候选选择</w:t>
      </w:r>
    </w:p>
    <w:p>
      <w:pPr>
        <w:pStyle w:val="PreformattedText"/>
        <w:bidi w:val="0"/>
        <w:jc w:val="start"/>
        <w:rPr/>
      </w:pPr>
      <w:r>
        <w:rPr>
          <w:rStyle w:val="SourceText"/>
        </w:rPr>
        <w:t xml:space="preserve">  → </w:t>
      </w:r>
      <w:r>
        <w:rPr>
          <w:rStyle w:val="SourceText"/>
        </w:rPr>
        <w:t xml:space="preserve">Gateway </w:t>
      </w:r>
      <w:r>
        <w:rPr>
          <w:rStyle w:val="SourceText"/>
        </w:rPr>
        <w:t>执行</w:t>
      </w:r>
    </w:p>
    <w:p>
      <w:pPr>
        <w:pStyle w:val="PreformattedText"/>
        <w:bidi w:val="0"/>
        <w:jc w:val="start"/>
        <w:rPr/>
      </w:pPr>
      <w:r>
        <w:rPr>
          <w:rStyle w:val="SourceText"/>
        </w:rPr>
        <w:t xml:space="preserve">  → </w:t>
      </w:r>
      <w:r>
        <w:rPr>
          <w:rStyle w:val="SourceText"/>
        </w:rPr>
        <w:t>结果归一化与审计</w:t>
      </w:r>
    </w:p>
    <w:p>
      <w:pPr>
        <w:pStyle w:val="PreformattedText"/>
        <w:bidi w:val="0"/>
        <w:jc w:val="start"/>
        <w:rPr/>
      </w:pPr>
      <w:r>
        <w:rPr>
          <w:rStyle w:val="SourceText"/>
        </w:rPr>
        <w:t xml:space="preserve">  → </w:t>
      </w:r>
      <w:r>
        <w:rPr>
          <w:rStyle w:val="SourceText"/>
        </w:rPr>
        <w:t>证据图与验证</w:t>
      </w:r>
    </w:p>
    <w:p>
      <w:pPr>
        <w:pStyle w:val="PreformattedText"/>
        <w:bidi w:val="0"/>
        <w:jc w:val="start"/>
        <w:rPr/>
      </w:pPr>
      <w:r>
        <w:rPr>
          <w:rStyle w:val="SourceText"/>
        </w:rPr>
        <w:t xml:space="preserve">  → </w:t>
      </w:r>
      <w:r>
        <w:rPr>
          <w:rStyle w:val="SourceText"/>
        </w:rPr>
        <w:t xml:space="preserve">Observer </w:t>
      </w:r>
      <w:r>
        <w:rPr>
          <w:rStyle w:val="SourceText"/>
        </w:rPr>
        <w:t>判断停滞</w:t>
      </w:r>
      <w:r>
        <w:rPr>
          <w:rStyle w:val="SourceText"/>
        </w:rPr>
        <w:t>/</w:t>
      </w:r>
      <w:r>
        <w:rPr>
          <w:rStyle w:val="SourceText"/>
        </w:rPr>
        <w:t>漂移</w:t>
      </w:r>
      <w:r>
        <w:rPr>
          <w:rStyle w:val="SourceText"/>
        </w:rPr>
        <w:t>/</w:t>
      </w:r>
      <w:r>
        <w:rPr>
          <w:rStyle w:val="SourceText"/>
        </w:rPr>
        <w:t>预算压力</w:t>
      </w:r>
    </w:p>
    <w:p>
      <w:pPr>
        <w:pStyle w:val="PreformattedText"/>
        <w:bidi w:val="0"/>
        <w:spacing w:before="1247" w:after="283"/>
        <w:jc w:val="start"/>
        <w:rPr/>
      </w:pPr>
      <w:r>
        <w:rPr>
          <w:rStyle w:val="SourceText"/>
        </w:rPr>
        <w:t xml:space="preserve">  → </w:t>
      </w:r>
      <w:r>
        <w:rPr>
          <w:rStyle w:val="SourceText"/>
        </w:rPr>
        <w:t xml:space="preserve">终止或 </w:t>
      </w:r>
      <w:r>
        <w:rPr>
          <w:rStyle w:val="SourceText"/>
        </w:rPr>
        <w:t xml:space="preserve">Replanner </w:t>
      </w:r>
      <w:r>
        <w:rPr>
          <w:rStyle w:val="SourceText"/>
        </w:rPr>
        <w:t>生成下一方案</w:t>
      </w:r>
    </w:p>
    <w:p>
      <w:pPr>
        <w:pStyle w:val="BodyText"/>
        <w:bidi w:val="0"/>
        <w:jc w:val="start"/>
        <w:rPr/>
      </w:pPr>
      <w:r>
        <w:rPr/>
        <w:t>计划记录候选动作、选择原因、风险、成本、预期结果和实际结果。失败、矛盾证据、重复能力失败、前置条件变化和预算压力都会成为重规划输入。成功动作和已耗尽能力族不会因为更换可执行文件名称而被无限重复。</w:t>
      </w:r>
    </w:p>
    <w:p>
      <w:pPr>
        <w:pStyle w:val="Heading2"/>
        <w:bidi w:val="0"/>
        <w:jc w:val="start"/>
        <w:rPr/>
      </w:pPr>
      <w:r>
        <w:rPr/>
        <w:t xml:space="preserve">8. </w:t>
      </w:r>
      <w:r>
        <w:rPr/>
        <w:t>安全策略</w:t>
      </w:r>
    </w:p>
    <w:tbl>
      <w:tblPr>
        <w:tblW w:w="10905" w:type="dxa"/>
        <w:jc w:val="start"/>
        <w:tblInd w:w="0" w:type="dxa"/>
        <w:tblLayout w:type="fixed"/>
        <w:tblCellMar>
          <w:top w:w="28" w:type="dxa"/>
          <w:start w:w="28" w:type="dxa"/>
          <w:bottom w:w="28" w:type="dxa"/>
          <w:end w:w="28" w:type="dxa"/>
        </w:tblCellMar>
      </w:tblPr>
      <w:tblGrid>
        <w:gridCol w:w="2943"/>
        <w:gridCol w:w="1833"/>
        <w:gridCol w:w="1833"/>
        <w:gridCol w:w="1833"/>
        <w:gridCol w:w="2463"/>
      </w:tblGrid>
      <w:tr>
        <w:trPr>
          <w:tblHeader w:val="true"/>
        </w:trPr>
        <w:tc>
          <w:tcPr>
            <w:tcW w:w="2943" w:type="dxa"/>
            <w:tcBorders/>
            <w:vAlign w:val="center"/>
          </w:tcPr>
          <w:p>
            <w:pPr>
              <w:pStyle w:val="TableHeading"/>
              <w:suppressLineNumbers/>
              <w:shd w:fill="E8F1F8" w:val="clear"/>
              <w:bidi w:val="0"/>
              <w:spacing w:before="0" w:after="283"/>
              <w:jc w:val="center"/>
              <w:rPr/>
            </w:pPr>
            <w:r>
              <w:rPr/>
              <w:t>策略</w:t>
            </w:r>
          </w:p>
        </w:tc>
        <w:tc>
          <w:tcPr>
            <w:tcW w:w="1833" w:type="dxa"/>
            <w:tcBorders/>
            <w:vAlign w:val="center"/>
          </w:tcPr>
          <w:p>
            <w:pPr>
              <w:pStyle w:val="TableHeading"/>
              <w:suppressLineNumbers/>
              <w:shd w:fill="E8F1F8" w:val="clear"/>
              <w:bidi w:val="0"/>
              <w:spacing w:before="0" w:after="283"/>
              <w:jc w:val="center"/>
              <w:rPr/>
            </w:pPr>
            <w:r>
              <w:rPr/>
              <w:t>P0/P1</w:t>
            </w:r>
          </w:p>
        </w:tc>
        <w:tc>
          <w:tcPr>
            <w:tcW w:w="1833" w:type="dxa"/>
            <w:tcBorders/>
            <w:vAlign w:val="center"/>
          </w:tcPr>
          <w:p>
            <w:pPr>
              <w:pStyle w:val="TableHeading"/>
              <w:suppressLineNumbers/>
              <w:shd w:fill="E8F1F8" w:val="clear"/>
              <w:bidi w:val="0"/>
              <w:spacing w:before="0" w:after="283"/>
              <w:jc w:val="center"/>
              <w:rPr/>
            </w:pPr>
            <w:r>
              <w:rPr/>
              <w:t>P2</w:t>
            </w:r>
          </w:p>
        </w:tc>
        <w:tc>
          <w:tcPr>
            <w:tcW w:w="1833" w:type="dxa"/>
            <w:tcBorders/>
            <w:vAlign w:val="center"/>
          </w:tcPr>
          <w:p>
            <w:pPr>
              <w:pStyle w:val="TableHeading"/>
              <w:suppressLineNumbers/>
              <w:shd w:fill="E8F1F8" w:val="clear"/>
              <w:bidi w:val="0"/>
              <w:spacing w:before="0" w:after="283"/>
              <w:jc w:val="center"/>
              <w:rPr/>
            </w:pPr>
            <w:r>
              <w:rPr/>
              <w:t>P3</w:t>
            </w:r>
          </w:p>
        </w:tc>
        <w:tc>
          <w:tcPr>
            <w:tcW w:w="2463" w:type="dxa"/>
            <w:tcBorders/>
            <w:vAlign w:val="center"/>
          </w:tcPr>
          <w:p>
            <w:pPr>
              <w:pStyle w:val="TableHeading"/>
              <w:suppressLineNumbers/>
              <w:shd w:fill="E8F1F8" w:val="clear"/>
              <w:bidi w:val="0"/>
              <w:spacing w:before="0" w:after="283"/>
              <w:jc w:val="center"/>
              <w:rPr/>
            </w:pPr>
            <w:r>
              <w:rPr/>
              <w:t>越界行为</w:t>
            </w:r>
          </w:p>
        </w:tc>
      </w:tr>
      <w:tr>
        <w:trPr/>
        <w:tc>
          <w:tcPr>
            <w:tcW w:w="2943" w:type="dxa"/>
            <w:tcBorders/>
            <w:vAlign w:val="center"/>
          </w:tcPr>
          <w:p>
            <w:pPr>
              <w:pStyle w:val="TableContents"/>
              <w:bidi w:val="0"/>
              <w:spacing w:before="0" w:after="283"/>
              <w:jc w:val="start"/>
              <w:rPr/>
            </w:pPr>
            <w:r>
              <w:rPr>
                <w:rStyle w:val="SourceText"/>
              </w:rPr>
              <w:t>strict</w:t>
            </w:r>
          </w:p>
        </w:tc>
        <w:tc>
          <w:tcPr>
            <w:tcW w:w="1833" w:type="dxa"/>
            <w:tcBorders/>
            <w:vAlign w:val="center"/>
          </w:tcPr>
          <w:p>
            <w:pPr>
              <w:pStyle w:val="TableContents"/>
              <w:bidi w:val="0"/>
              <w:spacing w:before="0" w:after="283"/>
              <w:jc w:val="start"/>
              <w:rPr/>
            </w:pPr>
            <w:r>
              <w:rPr/>
              <w:t>按策略处理</w:t>
            </w:r>
          </w:p>
        </w:tc>
        <w:tc>
          <w:tcPr>
            <w:tcW w:w="1833" w:type="dxa"/>
            <w:tcBorders/>
            <w:vAlign w:val="center"/>
          </w:tcPr>
          <w:p>
            <w:pPr>
              <w:pStyle w:val="TableContents"/>
              <w:bidi w:val="0"/>
              <w:spacing w:before="0" w:after="283"/>
              <w:jc w:val="start"/>
              <w:rPr/>
            </w:pPr>
            <w:r>
              <w:rPr/>
              <w:t>逐次确认</w:t>
            </w:r>
          </w:p>
        </w:tc>
        <w:tc>
          <w:tcPr>
            <w:tcW w:w="1833" w:type="dxa"/>
            <w:tcBorders/>
            <w:vAlign w:val="center"/>
          </w:tcPr>
          <w:p>
            <w:pPr>
              <w:pStyle w:val="TableContents"/>
              <w:bidi w:val="0"/>
              <w:spacing w:before="0" w:after="283"/>
              <w:jc w:val="start"/>
              <w:rPr/>
            </w:pPr>
            <w:r>
              <w:rPr/>
              <w:t>逐次确认</w:t>
            </w:r>
          </w:p>
        </w:tc>
        <w:tc>
          <w:tcPr>
            <w:tcW w:w="2463" w:type="dxa"/>
            <w:tcBorders/>
            <w:vAlign w:val="center"/>
          </w:tcPr>
          <w:p>
            <w:pPr>
              <w:pStyle w:val="TableContents"/>
              <w:bidi w:val="0"/>
              <w:spacing w:before="0" w:after="283"/>
              <w:jc w:val="start"/>
              <w:rPr/>
            </w:pPr>
            <w:r>
              <w:rPr/>
              <w:t>阻断</w:t>
            </w:r>
          </w:p>
        </w:tc>
      </w:tr>
      <w:tr>
        <w:trPr/>
        <w:tc>
          <w:tcPr>
            <w:tcW w:w="2943" w:type="dxa"/>
            <w:tcBorders/>
            <w:vAlign w:val="center"/>
          </w:tcPr>
          <w:p>
            <w:pPr>
              <w:pStyle w:val="TableContents"/>
              <w:bidi w:val="0"/>
              <w:spacing w:before="0" w:after="283"/>
              <w:jc w:val="start"/>
              <w:rPr/>
            </w:pPr>
            <w:r>
              <w:rPr>
                <w:rStyle w:val="SourceText"/>
              </w:rPr>
              <w:t>competition</w:t>
            </w:r>
          </w:p>
        </w:tc>
        <w:tc>
          <w:tcPr>
            <w:tcW w:w="1833" w:type="dxa"/>
            <w:tcBorders/>
            <w:vAlign w:val="center"/>
          </w:tcPr>
          <w:p>
            <w:pPr>
              <w:pStyle w:val="TableContents"/>
              <w:bidi w:val="0"/>
              <w:spacing w:before="0" w:after="283"/>
              <w:jc w:val="start"/>
              <w:rPr/>
            </w:pPr>
            <w:r>
              <w:rPr/>
              <w:t>按策略处理</w:t>
            </w:r>
          </w:p>
        </w:tc>
        <w:tc>
          <w:tcPr>
            <w:tcW w:w="1833" w:type="dxa"/>
            <w:tcBorders/>
            <w:vAlign w:val="center"/>
          </w:tcPr>
          <w:p>
            <w:pPr>
              <w:pStyle w:val="TableContents"/>
              <w:bidi w:val="0"/>
              <w:spacing w:before="0" w:after="283"/>
              <w:jc w:val="start"/>
              <w:rPr/>
            </w:pPr>
            <w:r>
              <w:rPr/>
              <w:t>自动放行</w:t>
            </w:r>
          </w:p>
        </w:tc>
        <w:tc>
          <w:tcPr>
            <w:tcW w:w="1833" w:type="dxa"/>
            <w:tcBorders/>
            <w:vAlign w:val="center"/>
          </w:tcPr>
          <w:p>
            <w:pPr>
              <w:pStyle w:val="TableContents"/>
              <w:bidi w:val="0"/>
              <w:spacing w:before="0" w:after="283"/>
              <w:jc w:val="start"/>
              <w:rPr/>
            </w:pPr>
            <w:r>
              <w:rPr/>
              <w:t>确认</w:t>
            </w:r>
          </w:p>
        </w:tc>
        <w:tc>
          <w:tcPr>
            <w:tcW w:w="2463" w:type="dxa"/>
            <w:tcBorders/>
            <w:vAlign w:val="center"/>
          </w:tcPr>
          <w:p>
            <w:pPr>
              <w:pStyle w:val="TableContents"/>
              <w:bidi w:val="0"/>
              <w:spacing w:before="0" w:after="283"/>
              <w:jc w:val="start"/>
              <w:rPr/>
            </w:pPr>
            <w:r>
              <w:rPr/>
              <w:t>阻断</w:t>
            </w:r>
          </w:p>
        </w:tc>
      </w:tr>
      <w:tr>
        <w:trPr/>
        <w:tc>
          <w:tcPr>
            <w:tcW w:w="2943" w:type="dxa"/>
            <w:tcBorders/>
            <w:vAlign w:val="center"/>
          </w:tcPr>
          <w:p>
            <w:pPr>
              <w:pStyle w:val="TableContents"/>
              <w:bidi w:val="0"/>
              <w:spacing w:before="0" w:after="283"/>
              <w:jc w:val="start"/>
              <w:rPr/>
            </w:pPr>
            <w:r>
              <w:rPr>
                <w:rStyle w:val="SourceText"/>
              </w:rPr>
              <w:t>autonomous</w:t>
            </w:r>
          </w:p>
        </w:tc>
        <w:tc>
          <w:tcPr>
            <w:tcW w:w="1833" w:type="dxa"/>
            <w:tcBorders/>
            <w:vAlign w:val="center"/>
          </w:tcPr>
          <w:p>
            <w:pPr>
              <w:pStyle w:val="TableContents"/>
              <w:bidi w:val="0"/>
              <w:spacing w:before="0" w:after="283"/>
              <w:jc w:val="start"/>
              <w:rPr/>
            </w:pPr>
            <w:r>
              <w:rPr/>
              <w:t>受边界约束</w:t>
            </w:r>
          </w:p>
        </w:tc>
        <w:tc>
          <w:tcPr>
            <w:tcW w:w="1833" w:type="dxa"/>
            <w:tcBorders/>
            <w:vAlign w:val="center"/>
          </w:tcPr>
          <w:p>
            <w:pPr>
              <w:pStyle w:val="TableContents"/>
              <w:bidi w:val="0"/>
              <w:spacing w:before="0" w:after="283"/>
              <w:jc w:val="start"/>
              <w:rPr/>
            </w:pPr>
            <w:r>
              <w:rPr/>
              <w:t>一次授权后自动</w:t>
            </w:r>
          </w:p>
        </w:tc>
        <w:tc>
          <w:tcPr>
            <w:tcW w:w="1833" w:type="dxa"/>
            <w:tcBorders/>
            <w:vAlign w:val="center"/>
          </w:tcPr>
          <w:p>
            <w:pPr>
              <w:pStyle w:val="TableContents"/>
              <w:bidi w:val="0"/>
              <w:spacing w:before="0" w:after="283"/>
              <w:jc w:val="start"/>
              <w:rPr/>
            </w:pPr>
            <w:r>
              <w:rPr/>
              <w:t>一次授权后自动</w:t>
            </w:r>
          </w:p>
        </w:tc>
        <w:tc>
          <w:tcPr>
            <w:tcW w:w="2463" w:type="dxa"/>
            <w:tcBorders/>
            <w:vAlign w:val="center"/>
          </w:tcPr>
          <w:p>
            <w:pPr>
              <w:pStyle w:val="TableContents"/>
              <w:bidi w:val="0"/>
              <w:spacing w:before="0" w:after="283"/>
              <w:jc w:val="start"/>
              <w:rPr/>
            </w:pPr>
            <w:r>
              <w:rPr/>
              <w:t xml:space="preserve">高危审计告警；不绕过 </w:t>
            </w:r>
            <w:r>
              <w:rPr/>
              <w:t xml:space="preserve">OS/container </w:t>
            </w:r>
            <w:r>
              <w:rPr/>
              <w:t>边界</w:t>
            </w:r>
          </w:p>
        </w:tc>
      </w:tr>
    </w:tbl>
    <w:p>
      <w:pPr>
        <w:pStyle w:val="BodyText"/>
        <w:bidi w:val="0"/>
        <w:jc w:val="start"/>
        <w:rPr/>
      </w:pPr>
      <w:r>
        <w:rPr/>
        <w:t xml:space="preserve">autonomous </w:t>
      </w:r>
      <w:r>
        <w:rPr/>
        <w:t xml:space="preserve">的启用前置条件包括：已验证 </w:t>
      </w:r>
      <w:r>
        <w:rPr/>
        <w:t xml:space="preserve">sandbox/container </w:t>
      </w:r>
      <w:r>
        <w:rPr/>
        <w:t>或明确记录的主办方受控隔离来源、操作者、原因、隔离来源和一次性确认。非交互运行还需提供固定确认值和隔离标记。任何策略都不能关闭受保护凭证路径、审计、</w:t>
      </w:r>
      <w:r>
        <w:rPr/>
        <w:t xml:space="preserve">OS/container </w:t>
      </w:r>
      <w:r>
        <w:rPr/>
        <w:t>边界或预算。</w:t>
      </w:r>
    </w:p>
    <w:p>
      <w:pPr>
        <w:pStyle w:val="Heading2"/>
        <w:bidi w:val="0"/>
        <w:jc w:val="start"/>
        <w:rPr/>
      </w:pPr>
      <w:r>
        <w:rPr/>
        <w:t xml:space="preserve">9. </w:t>
      </w:r>
      <w:r>
        <w:rPr/>
        <w:t>可解释性与报告</w:t>
      </w:r>
    </w:p>
    <w:p>
      <w:pPr>
        <w:pStyle w:val="BodyText"/>
        <w:bidi w:val="0"/>
        <w:jc w:val="start"/>
        <w:rPr/>
      </w:pPr>
      <w:r>
        <w:rPr/>
        <w:t>报告以事件和快照为基础，包含任务目标、场景、授权范围、策略、隔离状态、执行时间线、证据来源</w:t>
      </w:r>
      <w:r>
        <w:rPr/>
        <w:t>/</w:t>
      </w:r>
      <w:r>
        <w:rPr/>
        <w:t>摘要</w:t>
      </w:r>
      <w:r>
        <w:rPr/>
        <w:t>/</w:t>
      </w:r>
      <w:r>
        <w:rPr/>
        <w:t>哈希</w:t>
      </w:r>
      <w:r>
        <w:rPr/>
        <w:t>/</w:t>
      </w:r>
      <w:r>
        <w:rPr/>
        <w:t>置信度、假设、验证状态、被否定假设、候选动作、选择原因、重规划、工具审计、发现、修复建议和预算使用。</w:t>
      </w:r>
    </w:p>
    <w:p>
      <w:pPr>
        <w:pStyle w:val="BodyText"/>
        <w:bidi w:val="0"/>
        <w:jc w:val="start"/>
        <w:rPr/>
      </w:pPr>
      <w:r>
        <w:rPr/>
        <w:t xml:space="preserve">默认导出脱敏报告。报告不能包含 </w:t>
      </w:r>
      <w:r>
        <w:rPr/>
        <w:t>API Key</w:t>
      </w:r>
      <w:r>
        <w:rPr/>
        <w:t>、</w:t>
      </w:r>
      <w:r>
        <w:rPr/>
        <w:t>Cookie</w:t>
      </w:r>
      <w:r>
        <w:rPr/>
        <w:t>、</w:t>
      </w:r>
      <w:r>
        <w:rPr/>
        <w:t>Authorization header</w:t>
      </w:r>
      <w:r>
        <w:rPr/>
        <w:t xml:space="preserve">、私钥或未经授权的真实业务数据。导出前应检查 </w:t>
      </w:r>
      <w:r>
        <w:rPr/>
        <w:t>prompt</w:t>
      </w:r>
      <w:r>
        <w:rPr/>
        <w:t xml:space="preserve">、工具参数、命令结果和 </w:t>
      </w:r>
      <w:r>
        <w:rPr/>
        <w:t>trace</w:t>
      </w:r>
      <w:r>
        <w:rPr/>
        <w:t>。</w:t>
      </w:r>
    </w:p>
    <w:p>
      <w:pPr>
        <w:pStyle w:val="Heading2"/>
        <w:bidi w:val="0"/>
        <w:jc w:val="start"/>
        <w:rPr/>
      </w:pPr>
      <w:r>
        <w:rPr/>
        <w:t xml:space="preserve">10. </w:t>
      </w:r>
      <w:r>
        <w:rPr/>
        <w:t>场景与比赛价值</w:t>
      </w:r>
    </w:p>
    <w:tbl>
      <w:tblPr>
        <w:tblW w:w="10905" w:type="dxa"/>
        <w:jc w:val="start"/>
        <w:tblInd w:w="0" w:type="dxa"/>
        <w:tblLayout w:type="fixed"/>
        <w:tblCellMar>
          <w:top w:w="28" w:type="dxa"/>
          <w:start w:w="28" w:type="dxa"/>
          <w:bottom w:w="28" w:type="dxa"/>
          <w:end w:w="28" w:type="dxa"/>
        </w:tblCellMar>
      </w:tblPr>
      <w:tblGrid>
        <w:gridCol w:w="2358"/>
        <w:gridCol w:w="4147"/>
        <w:gridCol w:w="4400"/>
      </w:tblGrid>
      <w:tr>
        <w:trPr>
          <w:tblHeader w:val="true"/>
        </w:trPr>
        <w:tc>
          <w:tcPr>
            <w:tcW w:w="2358" w:type="dxa"/>
            <w:tcBorders/>
            <w:vAlign w:val="center"/>
          </w:tcPr>
          <w:p>
            <w:pPr>
              <w:pStyle w:val="TableHeading"/>
              <w:suppressLineNumbers/>
              <w:shd w:fill="E8F1F8" w:val="clear"/>
              <w:bidi w:val="0"/>
              <w:spacing w:before="0" w:after="283"/>
              <w:jc w:val="center"/>
              <w:rPr/>
            </w:pPr>
            <w:r>
              <w:rPr/>
              <w:t>场景</w:t>
            </w:r>
          </w:p>
        </w:tc>
        <w:tc>
          <w:tcPr>
            <w:tcW w:w="4147" w:type="dxa"/>
            <w:tcBorders/>
            <w:vAlign w:val="center"/>
          </w:tcPr>
          <w:p>
            <w:pPr>
              <w:pStyle w:val="TableHeading"/>
              <w:suppressLineNumbers/>
              <w:shd w:fill="E8F1F8" w:val="clear"/>
              <w:bidi w:val="0"/>
              <w:spacing w:before="0" w:after="283"/>
              <w:jc w:val="center"/>
              <w:rPr/>
            </w:pPr>
            <w:r>
              <w:rPr/>
              <w:t>任务链</w:t>
            </w:r>
          </w:p>
        </w:tc>
        <w:tc>
          <w:tcPr>
            <w:tcW w:w="4400" w:type="dxa"/>
            <w:tcBorders/>
            <w:vAlign w:val="center"/>
          </w:tcPr>
          <w:p>
            <w:pPr>
              <w:pStyle w:val="TableHeading"/>
              <w:suppressLineNumbers/>
              <w:shd w:fill="E8F1F8" w:val="clear"/>
              <w:bidi w:val="0"/>
              <w:spacing w:before="0" w:after="283"/>
              <w:jc w:val="center"/>
              <w:rPr/>
            </w:pPr>
            <w:r>
              <w:rPr/>
              <w:t>可展示能力</w:t>
            </w:r>
          </w:p>
        </w:tc>
      </w:tr>
      <w:tr>
        <w:trPr/>
        <w:tc>
          <w:tcPr>
            <w:tcW w:w="2358" w:type="dxa"/>
            <w:tcBorders/>
            <w:vAlign w:val="center"/>
          </w:tcPr>
          <w:p>
            <w:pPr>
              <w:pStyle w:val="TableContents"/>
              <w:bidi w:val="0"/>
              <w:spacing w:before="0" w:after="283"/>
              <w:jc w:val="start"/>
              <w:rPr/>
            </w:pPr>
            <w:r>
              <w:rPr/>
              <w:t xml:space="preserve">Web </w:t>
            </w:r>
            <w:r>
              <w:rPr/>
              <w:t>安全</w:t>
            </w:r>
          </w:p>
        </w:tc>
        <w:tc>
          <w:tcPr>
            <w:tcW w:w="4147" w:type="dxa"/>
            <w:tcBorders/>
            <w:vAlign w:val="center"/>
          </w:tcPr>
          <w:p>
            <w:pPr>
              <w:pStyle w:val="TableContents"/>
              <w:bidi w:val="0"/>
              <w:spacing w:before="0" w:after="283"/>
              <w:jc w:val="start"/>
              <w:rPr/>
            </w:pPr>
            <w:r>
              <w:rPr/>
              <w:t xml:space="preserve">HTTP </w:t>
            </w:r>
            <w:r>
              <w:rPr/>
              <w:t>识别、内容发现、验证</w:t>
            </w:r>
          </w:p>
        </w:tc>
        <w:tc>
          <w:tcPr>
            <w:tcW w:w="4400" w:type="dxa"/>
            <w:tcBorders/>
            <w:vAlign w:val="center"/>
          </w:tcPr>
          <w:p>
            <w:pPr>
              <w:pStyle w:val="TableContents"/>
              <w:bidi w:val="0"/>
              <w:spacing w:before="0" w:after="283"/>
              <w:jc w:val="start"/>
              <w:rPr/>
            </w:pPr>
            <w:r>
              <w:rPr/>
              <w:t>目标约束、</w:t>
            </w:r>
            <w:r>
              <w:rPr/>
              <w:t xml:space="preserve">Web </w:t>
            </w:r>
            <w:r>
              <w:rPr/>
              <w:t>适配器、证据与重规划</w:t>
            </w:r>
          </w:p>
        </w:tc>
      </w:tr>
      <w:tr>
        <w:trPr/>
        <w:tc>
          <w:tcPr>
            <w:tcW w:w="2358" w:type="dxa"/>
            <w:tcBorders/>
            <w:vAlign w:val="center"/>
          </w:tcPr>
          <w:p>
            <w:pPr>
              <w:pStyle w:val="TableContents"/>
              <w:bidi w:val="0"/>
              <w:spacing w:before="0" w:after="283"/>
              <w:jc w:val="start"/>
              <w:rPr/>
            </w:pPr>
            <w:r>
              <w:rPr/>
              <w:t>Pwn/ELF</w:t>
            </w:r>
          </w:p>
        </w:tc>
        <w:tc>
          <w:tcPr>
            <w:tcW w:w="4147" w:type="dxa"/>
            <w:tcBorders/>
            <w:vAlign w:val="center"/>
          </w:tcPr>
          <w:p>
            <w:pPr>
              <w:pStyle w:val="TableContents"/>
              <w:bidi w:val="0"/>
              <w:spacing w:before="0" w:after="283"/>
              <w:jc w:val="start"/>
              <w:rPr/>
            </w:pPr>
            <w:r>
              <w:rPr/>
              <w:t>文件识别、</w:t>
            </w:r>
            <w:r>
              <w:rPr/>
              <w:t xml:space="preserve">ELF </w:t>
            </w:r>
            <w:r>
              <w:rPr/>
              <w:t>缓解措施、静态分析</w:t>
            </w:r>
          </w:p>
        </w:tc>
        <w:tc>
          <w:tcPr>
            <w:tcW w:w="4400" w:type="dxa"/>
            <w:tcBorders/>
            <w:vAlign w:val="center"/>
          </w:tcPr>
          <w:p>
            <w:pPr>
              <w:pStyle w:val="TableContents"/>
              <w:bidi w:val="0"/>
              <w:spacing w:before="0" w:after="283"/>
              <w:jc w:val="start"/>
              <w:rPr/>
            </w:pPr>
            <w:r>
              <w:rPr/>
              <w:t>哈希来源、只读分析、不执行样本</w:t>
            </w:r>
          </w:p>
        </w:tc>
      </w:tr>
      <w:tr>
        <w:trPr/>
        <w:tc>
          <w:tcPr>
            <w:tcW w:w="2358" w:type="dxa"/>
            <w:tcBorders/>
            <w:vAlign w:val="center"/>
          </w:tcPr>
          <w:p>
            <w:pPr>
              <w:pStyle w:val="TableContents"/>
              <w:bidi w:val="0"/>
              <w:spacing w:before="0" w:after="283"/>
              <w:jc w:val="start"/>
              <w:rPr/>
            </w:pPr>
            <w:r>
              <w:rPr/>
              <w:t>逆向分析</w:t>
            </w:r>
          </w:p>
        </w:tc>
        <w:tc>
          <w:tcPr>
            <w:tcW w:w="4147" w:type="dxa"/>
            <w:tcBorders/>
            <w:vAlign w:val="center"/>
          </w:tcPr>
          <w:p>
            <w:pPr>
              <w:pStyle w:val="TableContents"/>
              <w:bidi w:val="0"/>
              <w:spacing w:before="0" w:after="283"/>
              <w:jc w:val="start"/>
              <w:rPr/>
            </w:pPr>
            <w:r>
              <w:rPr/>
              <w:t>字符串、节区、反汇编和假设验证</w:t>
            </w:r>
          </w:p>
        </w:tc>
        <w:tc>
          <w:tcPr>
            <w:tcW w:w="4400" w:type="dxa"/>
            <w:tcBorders/>
            <w:vAlign w:val="center"/>
          </w:tcPr>
          <w:p>
            <w:pPr>
              <w:pStyle w:val="TableContents"/>
              <w:bidi w:val="0"/>
              <w:spacing w:before="0" w:after="283"/>
              <w:jc w:val="start"/>
              <w:rPr/>
            </w:pPr>
            <w:r>
              <w:rPr/>
              <w:t>能力进阶、证据图、失败后换策略</w:t>
            </w:r>
          </w:p>
        </w:tc>
      </w:tr>
      <w:tr>
        <w:trPr/>
        <w:tc>
          <w:tcPr>
            <w:tcW w:w="2358" w:type="dxa"/>
            <w:tcBorders/>
            <w:vAlign w:val="center"/>
          </w:tcPr>
          <w:p>
            <w:pPr>
              <w:pStyle w:val="TableContents"/>
              <w:bidi w:val="0"/>
              <w:spacing w:before="0" w:after="283"/>
              <w:jc w:val="start"/>
              <w:rPr/>
            </w:pPr>
            <w:r>
              <w:rPr/>
              <w:t>取证</w:t>
            </w:r>
          </w:p>
        </w:tc>
        <w:tc>
          <w:tcPr>
            <w:tcW w:w="4147" w:type="dxa"/>
            <w:tcBorders/>
            <w:vAlign w:val="center"/>
          </w:tcPr>
          <w:p>
            <w:pPr>
              <w:pStyle w:val="TableContents"/>
              <w:bidi w:val="0"/>
              <w:spacing w:before="0" w:after="283"/>
              <w:jc w:val="start"/>
              <w:rPr/>
            </w:pPr>
            <w:r>
              <w:rPr/>
              <w:t>元数据、嵌入签名和样本关联</w:t>
            </w:r>
          </w:p>
        </w:tc>
        <w:tc>
          <w:tcPr>
            <w:tcW w:w="4400" w:type="dxa"/>
            <w:tcBorders/>
            <w:vAlign w:val="center"/>
          </w:tcPr>
          <w:p>
            <w:pPr>
              <w:pStyle w:val="TableContents"/>
              <w:bidi w:val="0"/>
              <w:spacing w:before="0" w:after="283"/>
              <w:jc w:val="start"/>
              <w:rPr/>
            </w:pPr>
            <w:r>
              <w:rPr/>
              <w:t>文件来源、完整性和可复现报告</w:t>
            </w:r>
          </w:p>
        </w:tc>
      </w:tr>
      <w:tr>
        <w:trPr/>
        <w:tc>
          <w:tcPr>
            <w:tcW w:w="2358" w:type="dxa"/>
            <w:tcBorders/>
            <w:vAlign w:val="center"/>
          </w:tcPr>
          <w:p>
            <w:pPr>
              <w:pStyle w:val="TableContents"/>
              <w:bidi w:val="0"/>
              <w:spacing w:before="0" w:after="283"/>
              <w:jc w:val="start"/>
              <w:rPr/>
            </w:pPr>
            <w:r>
              <w:rPr/>
              <w:t>Killchain</w:t>
            </w:r>
          </w:p>
        </w:tc>
        <w:tc>
          <w:tcPr>
            <w:tcW w:w="4147" w:type="dxa"/>
            <w:tcBorders/>
            <w:vAlign w:val="center"/>
          </w:tcPr>
          <w:p>
            <w:pPr>
              <w:pStyle w:val="TableContents"/>
              <w:bidi w:val="0"/>
              <w:spacing w:before="0" w:after="283"/>
              <w:jc w:val="start"/>
              <w:rPr/>
            </w:pPr>
            <w:r>
              <w:rPr/>
              <w:t xml:space="preserve">网络发现 → </w:t>
            </w:r>
            <w:r>
              <w:rPr/>
              <w:t xml:space="preserve">Web </w:t>
            </w:r>
            <w:r>
              <w:rPr/>
              <w:t>分析 → 失败恢复</w:t>
            </w:r>
          </w:p>
        </w:tc>
        <w:tc>
          <w:tcPr>
            <w:tcW w:w="4400" w:type="dxa"/>
            <w:tcBorders/>
            <w:vAlign w:val="center"/>
          </w:tcPr>
          <w:p>
            <w:pPr>
              <w:pStyle w:val="TableContents"/>
              <w:bidi w:val="0"/>
              <w:spacing w:before="0" w:after="283"/>
              <w:jc w:val="start"/>
              <w:rPr/>
            </w:pPr>
            <w:r>
              <w:rPr/>
              <w:t>多阶段规划、能力多样性和预算约束</w:t>
            </w:r>
          </w:p>
        </w:tc>
      </w:tr>
    </w:tbl>
    <w:p>
      <w:pPr>
        <w:pStyle w:val="BodyText"/>
        <w:bidi w:val="0"/>
        <w:jc w:val="start"/>
        <w:rPr/>
      </w:pPr>
      <w:r>
        <w:rPr/>
        <w:t>这些是项目的受控基准，不等同于主办方正式评分。最终评分材料应以主办方发布的评分细则和实际测量结果为准。</w:t>
      </w:r>
    </w:p>
    <w:p>
      <w:pPr>
        <w:pStyle w:val="Heading2"/>
        <w:bidi w:val="0"/>
        <w:jc w:val="start"/>
        <w:rPr/>
      </w:pPr>
      <w:r>
        <w:rPr/>
        <w:t xml:space="preserve">11. </w:t>
      </w:r>
      <w:r>
        <w:rPr/>
        <w:t>失败处理与降级</w:t>
      </w:r>
    </w:p>
    <w:p>
      <w:pPr>
        <w:pStyle w:val="BodyText"/>
        <w:numPr>
          <w:ilvl w:val="0"/>
          <w:numId w:val="5"/>
        </w:numPr>
        <w:tabs>
          <w:tab w:val="clear" w:pos="1134"/>
          <w:tab w:val="left" w:pos="1956" w:leader="none"/>
        </w:tabs>
        <w:bidi w:val="0"/>
        <w:spacing w:before="0" w:after="0"/>
        <w:ind w:hanging="283" w:start="1956"/>
        <w:jc w:val="start"/>
        <w:rPr/>
      </w:pPr>
      <w:r>
        <w:rPr/>
        <w:t xml:space="preserve">模型不可用：保留 </w:t>
      </w:r>
      <w:r>
        <w:rPr/>
        <w:t xml:space="preserve">Session </w:t>
      </w:r>
      <w:r>
        <w:rPr/>
        <w:t xml:space="preserve">状态，提示检查 </w:t>
      </w:r>
      <w:r>
        <w:rPr/>
        <w:t>Provider/API Gateway</w:t>
      </w:r>
      <w:r>
        <w:rPr/>
        <w:t xml:space="preserve">，不伪造执行结果。 </w:t>
      </w:r>
    </w:p>
    <w:p>
      <w:pPr>
        <w:pStyle w:val="BodyText"/>
        <w:numPr>
          <w:ilvl w:val="0"/>
          <w:numId w:val="5"/>
        </w:numPr>
        <w:tabs>
          <w:tab w:val="clear" w:pos="1134"/>
          <w:tab w:val="left" w:pos="1956" w:leader="none"/>
        </w:tabs>
        <w:bidi w:val="0"/>
        <w:spacing w:before="0" w:after="0"/>
        <w:ind w:hanging="283" w:start="1956"/>
        <w:jc w:val="start"/>
        <w:rPr/>
      </w:pPr>
      <w:r>
        <w:rPr/>
        <w:t xml:space="preserve">工具缺失或版本不符：诊断标记 </w:t>
      </w:r>
      <w:r>
        <w:rPr/>
        <w:t>warn/fail</w:t>
      </w:r>
      <w:r>
        <w:rPr/>
        <w:t xml:space="preserve">，候选动作不可执行或切换到已登记能力。 </w:t>
      </w:r>
    </w:p>
    <w:p>
      <w:pPr>
        <w:pStyle w:val="BodyText"/>
        <w:numPr>
          <w:ilvl w:val="0"/>
          <w:numId w:val="5"/>
        </w:numPr>
        <w:tabs>
          <w:tab w:val="clear" w:pos="1134"/>
          <w:tab w:val="left" w:pos="1956" w:leader="none"/>
        </w:tabs>
        <w:bidi w:val="0"/>
        <w:spacing w:before="0" w:after="0"/>
        <w:ind w:hanging="283" w:start="1956"/>
        <w:jc w:val="start"/>
        <w:rPr/>
      </w:pPr>
      <w:r>
        <w:rPr/>
        <w:t xml:space="preserve">MCP </w:t>
      </w:r>
      <w:r>
        <w:rPr/>
        <w:t xml:space="preserve">断线：子 </w:t>
      </w:r>
      <w:r>
        <w:rPr/>
        <w:t xml:space="preserve">Agent </w:t>
      </w:r>
      <w:r>
        <w:rPr/>
        <w:t xml:space="preserve">和 </w:t>
      </w:r>
      <w:r>
        <w:rPr/>
        <w:t xml:space="preserve">MCP </w:t>
      </w:r>
      <w:r>
        <w:rPr/>
        <w:t xml:space="preserve">调用标记失败，审计保留错误，触发重规划。 </w:t>
      </w:r>
    </w:p>
    <w:p>
      <w:pPr>
        <w:pStyle w:val="BodyText"/>
        <w:numPr>
          <w:ilvl w:val="0"/>
          <w:numId w:val="5"/>
        </w:numPr>
        <w:tabs>
          <w:tab w:val="clear" w:pos="1134"/>
          <w:tab w:val="left" w:pos="1956" w:leader="none"/>
        </w:tabs>
        <w:bidi w:val="0"/>
        <w:spacing w:before="0" w:after="0"/>
        <w:ind w:hanging="283" w:start="1956"/>
        <w:jc w:val="start"/>
        <w:rPr/>
      </w:pPr>
      <w:r>
        <w:rPr/>
        <w:t xml:space="preserve">工具超时：取消当前执行，写入失败审计，按预算判断是否重试。 </w:t>
      </w:r>
    </w:p>
    <w:p>
      <w:pPr>
        <w:pStyle w:val="BodyText"/>
        <w:numPr>
          <w:ilvl w:val="0"/>
          <w:numId w:val="5"/>
        </w:numPr>
        <w:tabs>
          <w:tab w:val="clear" w:pos="1134"/>
          <w:tab w:val="left" w:pos="1956" w:leader="none"/>
        </w:tabs>
        <w:bidi w:val="0"/>
        <w:spacing w:before="0" w:after="0"/>
        <w:ind w:hanging="283" w:start="1956"/>
        <w:jc w:val="start"/>
        <w:rPr/>
      </w:pPr>
      <w:r>
        <w:rPr/>
        <w:t xml:space="preserve">Web </w:t>
      </w:r>
      <w:r>
        <w:rPr/>
        <w:t xml:space="preserve">进程重启：客户端重连并读取持久化 </w:t>
      </w:r>
      <w:r>
        <w:rPr/>
        <w:t>Profile snapshot</w:t>
      </w:r>
      <w:r>
        <w:rPr/>
        <w:t xml:space="preserve">；长任务使用生产模式和外部进程监督。 </w:t>
      </w:r>
    </w:p>
    <w:p>
      <w:pPr>
        <w:pStyle w:val="BodyText"/>
        <w:numPr>
          <w:ilvl w:val="0"/>
          <w:numId w:val="5"/>
        </w:numPr>
        <w:tabs>
          <w:tab w:val="clear" w:pos="1134"/>
          <w:tab w:val="left" w:pos="1956" w:leader="none"/>
        </w:tabs>
        <w:bidi w:val="0"/>
        <w:ind w:hanging="283" w:start="1956"/>
        <w:jc w:val="start"/>
        <w:rPr/>
      </w:pPr>
      <w:r>
        <w:rPr/>
        <w:t xml:space="preserve">WSL </w:t>
      </w:r>
      <w:r>
        <w:rPr>
          <w:rStyle w:val="SourceText"/>
        </w:rPr>
        <w:t>/mnt/*</w:t>
      </w:r>
      <w:r>
        <w:rPr/>
        <w:t xml:space="preserve"> </w:t>
      </w:r>
      <w:r>
        <w:rPr/>
        <w:t xml:space="preserve">慢：推荐 </w:t>
      </w:r>
      <w:r>
        <w:rPr/>
        <w:t>ext4</w:t>
      </w:r>
      <w:r>
        <w:rPr/>
        <w:t xml:space="preserve">；必须使用挂载盘时由 </w:t>
      </w:r>
      <w:r>
        <w:rPr/>
        <w:t xml:space="preserve">Web </w:t>
      </w:r>
      <w:r>
        <w:rPr/>
        <w:t xml:space="preserve">启动器把 </w:t>
      </w:r>
      <w:r>
        <w:rPr>
          <w:rStyle w:val="SourceText"/>
        </w:rPr>
        <w:t>.next</w:t>
      </w:r>
      <w:r>
        <w:rPr/>
        <w:t xml:space="preserve"> </w:t>
      </w:r>
      <w:r>
        <w:rPr/>
        <w:t xml:space="preserve">和 </w:t>
      </w:r>
      <w:r>
        <w:rPr/>
        <w:t xml:space="preserve">Webpack </w:t>
      </w:r>
      <w:r>
        <w:rPr/>
        <w:t xml:space="preserve">缓存迁至 </w:t>
      </w:r>
      <w:r>
        <w:rPr>
          <w:rStyle w:val="SourceText"/>
        </w:rPr>
        <w:t>/tmp</w:t>
      </w:r>
      <w:r>
        <w:rPr/>
        <w:t xml:space="preserve">。 </w:t>
      </w:r>
    </w:p>
    <w:p>
      <w:pPr>
        <w:pStyle w:val="Heading2"/>
        <w:bidi w:val="0"/>
        <w:jc w:val="start"/>
        <w:rPr/>
      </w:pPr>
      <w:r>
        <w:rPr/>
        <w:t xml:space="preserve">12. </w:t>
      </w:r>
      <w:r>
        <w:rPr/>
        <w:t>验收标准</w:t>
      </w:r>
    </w:p>
    <w:p>
      <w:pPr>
        <w:pStyle w:val="BodyText"/>
        <w:numPr>
          <w:ilvl w:val="0"/>
          <w:numId w:val="6"/>
        </w:numPr>
        <w:tabs>
          <w:tab w:val="clear" w:pos="1134"/>
          <w:tab w:val="left" w:pos="1956" w:leader="none"/>
        </w:tabs>
        <w:bidi w:val="0"/>
        <w:spacing w:before="0" w:after="0"/>
        <w:ind w:hanging="283" w:start="1956"/>
        <w:jc w:val="start"/>
        <w:rPr/>
      </w:pPr>
      <w:r>
        <w:rPr/>
        <w:t xml:space="preserve">默认 </w:t>
      </w:r>
      <w:r>
        <w:rPr/>
        <w:t xml:space="preserve">Coding </w:t>
      </w:r>
      <w:r>
        <w:rPr/>
        <w:t xml:space="preserve">行为、旧参数和旧 </w:t>
      </w:r>
      <w:r>
        <w:rPr/>
        <w:t xml:space="preserve">Session </w:t>
      </w:r>
      <w:r>
        <w:rPr/>
        <w:t xml:space="preserve">不变。 </w:t>
      </w:r>
    </w:p>
    <w:p>
      <w:pPr>
        <w:pStyle w:val="BodyText"/>
        <w:numPr>
          <w:ilvl w:val="0"/>
          <w:numId w:val="6"/>
        </w:numPr>
        <w:tabs>
          <w:tab w:val="clear" w:pos="1134"/>
          <w:tab w:val="left" w:pos="1956" w:leader="none"/>
        </w:tabs>
        <w:bidi w:val="0"/>
        <w:spacing w:before="0" w:after="0"/>
        <w:ind w:hanging="283" w:start="1956"/>
        <w:jc w:val="start"/>
        <w:rPr/>
      </w:pPr>
      <w:r>
        <w:rPr/>
        <w:t xml:space="preserve">Coding </w:t>
      </w:r>
      <w:r>
        <w:rPr/>
        <w:t xml:space="preserve">不加载 </w:t>
      </w:r>
      <w:r>
        <w:rPr/>
        <w:t xml:space="preserve">SecAgent </w:t>
      </w:r>
      <w:r>
        <w:rPr/>
        <w:t xml:space="preserve">运行资源。 </w:t>
      </w:r>
    </w:p>
    <w:p>
      <w:pPr>
        <w:pStyle w:val="BodyText"/>
        <w:numPr>
          <w:ilvl w:val="0"/>
          <w:numId w:val="6"/>
        </w:numPr>
        <w:tabs>
          <w:tab w:val="clear" w:pos="1134"/>
          <w:tab w:val="left" w:pos="1956" w:leader="none"/>
        </w:tabs>
        <w:bidi w:val="0"/>
        <w:spacing w:before="0" w:after="0"/>
        <w:ind w:hanging="283" w:start="1956"/>
        <w:jc w:val="start"/>
        <w:rPr/>
      </w:pPr>
      <w:r>
        <w:rPr/>
        <w:t xml:space="preserve">CLI/Web </w:t>
      </w:r>
      <w:r>
        <w:rPr/>
        <w:t xml:space="preserve">均可创建、恢复和查看 </w:t>
      </w:r>
      <w:r>
        <w:rPr/>
        <w:t>Sec Session</w:t>
      </w:r>
      <w:r>
        <w:rPr/>
        <w:t xml:space="preserve">。 </w:t>
      </w:r>
    </w:p>
    <w:p>
      <w:pPr>
        <w:pStyle w:val="BodyText"/>
        <w:numPr>
          <w:ilvl w:val="0"/>
          <w:numId w:val="6"/>
        </w:numPr>
        <w:tabs>
          <w:tab w:val="clear" w:pos="1134"/>
          <w:tab w:val="left" w:pos="1956" w:leader="none"/>
        </w:tabs>
        <w:bidi w:val="0"/>
        <w:spacing w:before="0" w:after="0"/>
        <w:ind w:hanging="283" w:start="1956"/>
        <w:jc w:val="start"/>
        <w:rPr/>
      </w:pPr>
      <w:r>
        <w:rPr/>
        <w:t xml:space="preserve">autonomous </w:t>
      </w:r>
      <w:r>
        <w:rPr/>
        <w:t xml:space="preserve">前置条件不满足时拒绝启用。 </w:t>
      </w:r>
    </w:p>
    <w:p>
      <w:pPr>
        <w:pStyle w:val="BodyText"/>
        <w:numPr>
          <w:ilvl w:val="0"/>
          <w:numId w:val="6"/>
        </w:numPr>
        <w:tabs>
          <w:tab w:val="clear" w:pos="1134"/>
          <w:tab w:val="left" w:pos="1956" w:leader="none"/>
        </w:tabs>
        <w:bidi w:val="0"/>
        <w:spacing w:before="0" w:after="0"/>
        <w:ind w:hanging="283" w:start="1956"/>
        <w:jc w:val="start"/>
        <w:rPr/>
      </w:pPr>
      <w:r>
        <w:rPr/>
        <w:t xml:space="preserve">strict/competition </w:t>
      </w:r>
      <w:r>
        <w:rPr/>
        <w:t>越界阻断，</w:t>
      </w:r>
      <w:r>
        <w:rPr/>
        <w:t xml:space="preserve">autonomous </w:t>
      </w:r>
      <w:r>
        <w:rPr/>
        <w:t xml:space="preserve">越界产生不可关闭的高危审计。 </w:t>
      </w:r>
    </w:p>
    <w:p>
      <w:pPr>
        <w:pStyle w:val="BodyText"/>
        <w:numPr>
          <w:ilvl w:val="0"/>
          <w:numId w:val="6"/>
        </w:numPr>
        <w:tabs>
          <w:tab w:val="clear" w:pos="1134"/>
          <w:tab w:val="left" w:pos="1956" w:leader="none"/>
        </w:tabs>
        <w:bidi w:val="0"/>
        <w:spacing w:before="0" w:after="0"/>
        <w:ind w:hanging="283" w:start="1956"/>
        <w:jc w:val="start"/>
        <w:rPr/>
      </w:pPr>
      <w:r>
        <w:rPr/>
        <w:t>每次安全执行可关联任务、决策、</w:t>
      </w:r>
      <w:r>
        <w:rPr/>
        <w:t>scope</w:t>
      </w:r>
      <w:r>
        <w:rPr/>
        <w:t xml:space="preserve">、策略、证据和报告。 </w:t>
      </w:r>
    </w:p>
    <w:p>
      <w:pPr>
        <w:pStyle w:val="BodyText"/>
        <w:numPr>
          <w:ilvl w:val="0"/>
          <w:numId w:val="6"/>
        </w:numPr>
        <w:tabs>
          <w:tab w:val="clear" w:pos="1134"/>
          <w:tab w:val="left" w:pos="1956" w:leader="none"/>
        </w:tabs>
        <w:bidi w:val="0"/>
        <w:spacing w:before="0" w:after="283"/>
        <w:ind w:hanging="283" w:start="1956"/>
        <w:jc w:val="start"/>
        <w:rPr/>
      </w:pPr>
      <w:r>
        <w:rPr/>
        <w:t xml:space="preserve">受控五场景可以在不调用付费模型和公网目标的条件下重放。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CJK SC">
    <w:altName w:val="Microsoft YaHei"/>
    <w:charset w:val="01" w:characterSet="utf-8"/>
    <w:family w:val="auto"/>
    <w:pitch w:val="default"/>
  </w:font>
  <w:font w:name="Noto Sans">
    <w:charset w:val="01" w:characterSet="utf-8"/>
    <w:family w:val="auto"/>
    <w:pitch w:val="variable"/>
  </w:font>
  <w:font w:name="DejaVu Sans Mono">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96" w:before="1247" w:after="1247"/>
      <w:ind w:start="1247" w:end="1247"/>
    </w:pPr>
    <w:rPr>
      <w:rFonts w:ascii="Noto Sans CJK SC;Microsoft YaHei;sans-serif" w:hAnsi="Noto Sans CJK SC;Microsoft YaHei;sans-serif" w:eastAsia="Noto Sans CJK SC;Microsoft YaHei;sans-serif" w:cs="Noto Sans CJK SC;Microsoft YaHei;sans-serif"/>
      <w:color w:val="1F2937"/>
      <w:sz w:val="24"/>
      <w:szCs w:val="24"/>
      <w:lang w:val="en-US" w:eastAsia="zh-CN" w:bidi="hi-IN"/>
    </w:rPr>
  </w:style>
  <w:style w:type="paragraph" w:styleId="Heading1">
    <w:name w:val="Heading 1"/>
    <w:basedOn w:val="Heading"/>
    <w:next w:val="BodyText"/>
    <w:qFormat/>
    <w:pPr>
      <w:pBdr>
        <w:bottom w:val="single" w:sz="12" w:space="1" w:color="2B6EA6"/>
      </w:pBdr>
    </w:pPr>
    <w:rPr>
      <w:rFonts w:ascii="Noto Sans" w:hAnsi="Noto Sans"/>
      <w:b/>
      <w:bCs/>
      <w:color w:val="123B63"/>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color w:val="1F5685"/>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color w:val="2C628F"/>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DejaVu Sans Mono;monospace" w:hAnsi="DejaVu Sans Mono;monospace" w:eastAsia="DejaVu Sans Mono;monospace" w:cs="DejaVu Sans Mono;monospace"/>
      <w:shd w:fill="F3F4F6" w:val="clear"/>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065" w:leader="none"/>
        <w:tab w:val="right" w:pos="10884" w:leader="none"/>
      </w:tabs>
    </w:pPr>
    <w:rPr/>
  </w:style>
  <w:style w:type="paragraph" w:styleId="Header">
    <w:name w:val="Header"/>
    <w:basedOn w:val="Normal"/>
    <w:pPr>
      <w:suppressLineNumbers/>
      <w:tabs>
        <w:tab w:val="clear" w:pos="1134"/>
        <w:tab w:val="center" w:pos="6065" w:leader="none"/>
        <w:tab w:val="right" w:pos="10884" w:leader="none"/>
      </w:tabs>
    </w:pPr>
    <w:rPr/>
  </w:style>
  <w:style w:type="paragraph" w:styleId="HeaderandFooter">
    <w:name w:val="Header and Footer"/>
    <w:basedOn w:val="Normal"/>
    <w:qFormat/>
    <w:pPr>
      <w:suppressLineNumbers/>
      <w:tabs>
        <w:tab w:val="clear" w:pos="1134"/>
        <w:tab w:val="center" w:pos="6066" w:leader="none"/>
        <w:tab w:val="right" w:pos="10885"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left w:val="single" w:sz="24" w:space="1" w:color="2B6EA6"/>
      </w:pBdr>
      <w:shd w:fill="F3F4F6" w:val="clear"/>
      <w:spacing w:before="1247" w:after="0"/>
    </w:pPr>
    <w:rPr>
      <w:rFonts w:ascii="Liberation Mono" w:hAnsi="Liberation Mono" w:eastAsia="Noto Sans Mono CJK SC" w:cs="Liberation Mono"/>
      <w:sz w:val="20"/>
      <w:szCs w:val="20"/>
    </w:rPr>
  </w:style>
  <w:style w:type="paragraph" w:styleId="BlockQuotation">
    <w:name w:val="Block Quotation"/>
    <w:basedOn w:val="Normal"/>
    <w:qFormat/>
    <w:pPr>
      <w:pBdr>
        <w:left w:val="single" w:sz="24" w:space="1" w:color="9CA3AF"/>
      </w:pBdr>
      <w:spacing w:before="1247" w:after="283"/>
      <w:ind w:hanging="0" w:start="567" w:end="567"/>
    </w:pPr>
    <w:rPr>
      <w:color w:val="4B5563"/>
    </w:rPr>
  </w:style>
  <w:style w:type="paragraph" w:styleId="TableHeading">
    <w:name w:val="Table Heading"/>
    <w:basedOn w:val="TableContents"/>
    <w:qFormat/>
    <w:pPr>
      <w:suppressLineNumbers/>
      <w:shd w:fill="E8F1F8"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方案设计文档</dc:title>
</cp:coreProperties>
</file>

<file path=docProps/custom.xml><?xml version="1.0" encoding="utf-8"?>
<Properties xmlns="http://schemas.openxmlformats.org/officeDocument/2006/custom-properties" xmlns:vt="http://schemas.openxmlformats.org/officeDocument/2006/docPropsVTypes"/>
</file>