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8F1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0"/>
          <w:szCs w:val="21"/>
        </w:rPr>
      </w:pPr>
    </w:p>
    <w:p w14:paraId="017626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0"/>
          <w:szCs w:val="21"/>
        </w:rPr>
      </w:pPr>
    </w:p>
    <w:p w14:paraId="63EC9A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0"/>
          <w:szCs w:val="21"/>
        </w:rPr>
      </w:pPr>
    </w:p>
    <w:p w14:paraId="20151B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sz w:val="22"/>
          <w:szCs w:val="24"/>
        </w:rPr>
      </w:pPr>
      <w:r>
        <w:rPr>
          <w:rFonts w:ascii="Times New Roman" w:hAnsi="Times New Roman" w:eastAsia="宋体" w:cs="Times New Roman"/>
          <w:b/>
          <w:color w:val="17365D"/>
          <w:sz w:val="72"/>
          <w:szCs w:val="24"/>
        </w:rPr>
        <w:t>SecAgent</w:t>
      </w:r>
    </w:p>
    <w:p w14:paraId="124000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sz w:val="22"/>
          <w:szCs w:val="24"/>
        </w:rPr>
      </w:pPr>
      <w:r>
        <w:rPr>
          <w:rFonts w:ascii="Times New Roman" w:hAnsi="Times New Roman" w:eastAsia="宋体" w:cs="Times New Roman"/>
          <w:b/>
          <w:sz w:val="44"/>
          <w:szCs w:val="24"/>
        </w:rPr>
        <w:t>具备自主决策能力的通用网络安全智能体</w:t>
      </w:r>
    </w:p>
    <w:p w14:paraId="0A97EE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sz w:val="22"/>
          <w:szCs w:val="24"/>
        </w:rPr>
      </w:pPr>
      <w:r>
        <w:rPr>
          <w:rFonts w:ascii="Times New Roman" w:hAnsi="Times New Roman" w:eastAsia="宋体" w:cs="Times New Roman"/>
          <w:b/>
          <w:color w:val="244A73"/>
          <w:sz w:val="40"/>
          <w:szCs w:val="24"/>
        </w:rPr>
        <w:t>方案设计文档</w:t>
      </w:r>
    </w:p>
    <w:p w14:paraId="0F24BC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2"/>
          <w:szCs w:val="24"/>
        </w:rPr>
      </w:pPr>
    </w:p>
    <w:p w14:paraId="376B70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5974"/>
      </w:tblGrid>
      <w:tr w14:paraId="10AB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68596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赛题编号</w:t>
            </w:r>
          </w:p>
        </w:tc>
        <w:tc>
          <w:tcPr>
            <w:tcW w:w="5974" w:type="dxa"/>
            <w:vAlign w:val="center"/>
          </w:tcPr>
          <w:p w14:paraId="445D7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XH-202609</w:t>
            </w:r>
          </w:p>
        </w:tc>
      </w:tr>
      <w:tr w14:paraId="612B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3180F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项目仓库</w:t>
            </w:r>
          </w:p>
        </w:tc>
        <w:tc>
          <w:tcPr>
            <w:tcW w:w="5974" w:type="dxa"/>
            <w:vAlign w:val="center"/>
          </w:tcPr>
          <w:p w14:paraId="3ED68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github.com/DrNbnonono/mypi</w:t>
            </w:r>
          </w:p>
        </w:tc>
      </w:tr>
      <w:tr w14:paraId="512E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6C362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参赛分支</w:t>
            </w:r>
          </w:p>
        </w:tc>
        <w:tc>
          <w:tcPr>
            <w:tcW w:w="5974" w:type="dxa"/>
            <w:vAlign w:val="center"/>
          </w:tcPr>
          <w:p w14:paraId="7E5B6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feat/secagent-security-kernel</w:t>
            </w:r>
          </w:p>
        </w:tc>
      </w:tr>
      <w:tr w14:paraId="09F3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66202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代码审查基线</w:t>
            </w:r>
          </w:p>
        </w:tc>
        <w:tc>
          <w:tcPr>
            <w:tcW w:w="5974" w:type="dxa"/>
            <w:vAlign w:val="center"/>
          </w:tcPr>
          <w:p w14:paraId="4D097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b9a3fd9a7a0811dc2de3fd5f7042b402090aafdc</w:t>
            </w:r>
          </w:p>
        </w:tc>
      </w:tr>
      <w:tr w14:paraId="296C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56A3C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文档版本</w:t>
            </w:r>
          </w:p>
        </w:tc>
        <w:tc>
          <w:tcPr>
            <w:tcW w:w="5974" w:type="dxa"/>
            <w:vAlign w:val="center"/>
          </w:tcPr>
          <w:p w14:paraId="13D90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V2.0（代码审查完善版）</w:t>
            </w:r>
          </w:p>
        </w:tc>
      </w:tr>
      <w:tr w14:paraId="54E1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6E561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审查日期</w:t>
            </w:r>
          </w:p>
        </w:tc>
        <w:tc>
          <w:tcPr>
            <w:tcW w:w="5974" w:type="dxa"/>
            <w:vAlign w:val="center"/>
          </w:tcPr>
          <w:p w14:paraId="4DC4C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2026年9月2日</w:t>
            </w:r>
          </w:p>
        </w:tc>
      </w:tr>
      <w:tr w14:paraId="0965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30" w:type="dxa"/>
            <w:shd w:val="clear" w:color="auto" w:fill="EAF0F6"/>
            <w:vAlign w:val="center"/>
          </w:tcPr>
          <w:p w14:paraId="04C11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团队/学校</w:t>
            </w:r>
          </w:p>
        </w:tc>
        <w:tc>
          <w:tcPr>
            <w:tcW w:w="5974" w:type="dxa"/>
            <w:vAlign w:val="center"/>
          </w:tcPr>
          <w:p w14:paraId="4AB3A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【提交前填写】</w:t>
            </w:r>
          </w:p>
        </w:tc>
      </w:tr>
    </w:tbl>
    <w:p w14:paraId="21DA3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sz w:val="22"/>
          <w:szCs w:val="24"/>
        </w:rPr>
      </w:pPr>
    </w:p>
    <w:p w14:paraId="2C6734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0"/>
          <w:szCs w:val="21"/>
        </w:rPr>
      </w:pPr>
    </w:p>
    <w:p w14:paraId="2C343B7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62BBAF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72A42C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748EF2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381E037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0. 文档说明与审查结论</w:t>
      </w:r>
    </w:p>
    <w:p w14:paraId="62EF704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0.1 文档目的与适用范围</w:t>
      </w:r>
    </w:p>
    <w:p w14:paraId="21DCB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本方案设计文档用于说明 SecAgent 在赛题 XH-202609 下的总体技术方案、系统边界、任务理解机制、自主决策闭环、安全执行约束、工具协同、证据验证、可解释性、部署与工程验证设计。其主要读者包括初审评委、终审答辩专家、开发维护人员和现场操作人员。</w:t>
      </w:r>
    </w:p>
    <w:p w14:paraId="69A92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文档重点回答三个问题：第一，智能体如何把复杂安全任务转换为可执行的结构化目标；第二，智能体如何在不把大模型直接等同于 Shell 的前提下持续规划、执行、验证与重规划；第三，系统如何证明每一个关键结论和关键动作“有依据、可追踪、可复现、可审计”。</w:t>
      </w:r>
    </w:p>
    <w:p w14:paraId="2041452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0.2 实现状态标记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4819"/>
      </w:tblGrid>
      <w:tr w14:paraId="615F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223FC8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标记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1AA1D7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含义</w:t>
            </w:r>
          </w:p>
        </w:tc>
        <w:tc>
          <w:tcPr>
            <w:tcW w:w="4819" w:type="dxa"/>
            <w:shd w:val="clear" w:color="auto" w:fill="DCE6F1"/>
            <w:vAlign w:val="center"/>
          </w:tcPr>
          <w:p w14:paraId="4CA4B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文档使用原则</w:t>
            </w:r>
          </w:p>
        </w:tc>
      </w:tr>
      <w:tr w14:paraId="1852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BDCAA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已实现</w:t>
            </w:r>
          </w:p>
        </w:tc>
        <w:tc>
          <w:tcPr>
            <w:tcW w:w="3402" w:type="dxa"/>
            <w:vAlign w:val="center"/>
          </w:tcPr>
          <w:p w14:paraId="6DE413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当前审查基线中存在明确代码/测试/接口</w:t>
            </w:r>
          </w:p>
        </w:tc>
        <w:tc>
          <w:tcPr>
            <w:tcW w:w="4819" w:type="dxa"/>
            <w:vAlign w:val="center"/>
          </w:tcPr>
          <w:p w14:paraId="0497D3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可作为方案核心能力陈述</w:t>
            </w:r>
          </w:p>
        </w:tc>
      </w:tr>
      <w:tr w14:paraId="730F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71ADC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部分实现</w:t>
            </w:r>
          </w:p>
        </w:tc>
        <w:tc>
          <w:tcPr>
            <w:tcW w:w="3402" w:type="dxa"/>
            <w:vAlign w:val="center"/>
          </w:tcPr>
          <w:p w14:paraId="2643B6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已存在骨架或部分链路，但能力边界尚未覆盖全部赛题输入/场景</w:t>
            </w:r>
          </w:p>
        </w:tc>
        <w:tc>
          <w:tcPr>
            <w:tcW w:w="4819" w:type="dxa"/>
            <w:vAlign w:val="center"/>
          </w:tcPr>
          <w:p w14:paraId="688129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必须写清已完成部分与缺口</w:t>
            </w:r>
          </w:p>
        </w:tc>
      </w:tr>
      <w:tr w14:paraId="783D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A1DCD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赛前验收</w:t>
            </w:r>
          </w:p>
        </w:tc>
        <w:tc>
          <w:tcPr>
            <w:tcW w:w="3402" w:type="dxa"/>
            <w:vAlign w:val="center"/>
          </w:tcPr>
          <w:p w14:paraId="7C3B46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代码设计已存在，但依赖正式容器、真实工具或主办方模型网关验证</w:t>
            </w:r>
          </w:p>
        </w:tc>
        <w:tc>
          <w:tcPr>
            <w:tcW w:w="4819" w:type="dxa"/>
            <w:vAlign w:val="center"/>
          </w:tcPr>
          <w:p w14:paraId="7A23CF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不能在测试报告中提前写“通过”</w:t>
            </w:r>
          </w:p>
        </w:tc>
      </w:tr>
      <w:tr w14:paraId="3F2F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402A8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设计建议</w:t>
            </w:r>
          </w:p>
        </w:tc>
        <w:tc>
          <w:tcPr>
            <w:tcW w:w="3402" w:type="dxa"/>
            <w:vAlign w:val="center"/>
          </w:tcPr>
          <w:p w14:paraId="0B62CD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根据现有架构给出的增强方向，当前代码不能证明已经实现</w:t>
            </w:r>
          </w:p>
        </w:tc>
        <w:tc>
          <w:tcPr>
            <w:tcW w:w="4819" w:type="dxa"/>
            <w:vAlign w:val="center"/>
          </w:tcPr>
          <w:p w14:paraId="2FB750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与“现状实现”分开描述</w:t>
            </w:r>
          </w:p>
        </w:tc>
      </w:tr>
    </w:tbl>
    <w:p w14:paraId="590B15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5D7F1F3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0.3 本轮代码审查的关键结论</w:t>
      </w:r>
    </w:p>
    <w:p w14:paraId="4ACCD26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项目不是另起一套 Agent Loop，而是作为 Pi Agent Harness 的 opt-in `sec` Profile 接入；通用模型/provider、AgentSession、扩展加载和 Web 会话机制继续由 Pi 负责，SecAgent 聚焦安全语义与安全执行内核。</w:t>
      </w:r>
    </w:p>
    <w:p w14:paraId="1334286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核心闭环已经形成较清晰的“SecurityState → Candidate Generator → Planner/Replanner → 确定性动作输入 → SecurityExecutionGateway → Evidence → Verifier/Observer → 下一状态”工程链路。</w:t>
      </w:r>
    </w:p>
    <w:p w14:paraId="36B7A31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状态模型不是仅依赖聊天上下文，而是以 SecurityEvent 重建 SecurityState v5，覆盖任务、阶段、scope、policy、isolation、证据图、假设、finding、decision、replan、observer、delegation、budget 和 CTF profile。</w:t>
      </w:r>
    </w:p>
    <w:p w14:paraId="569CA47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工具执行存在明确的强制网关：决策绑定、注册适配器、protected paths、scope、risk/policy、budget、availability/preconditions、执行、证据与审计均在同一入口完成。</w:t>
      </w:r>
    </w:p>
    <w:p w14:paraId="46D673A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证据系统具有明确的“观察≠结论”设计；默认验证规则要求两类独立来源且聚合置信度不低于 0.75，或使用带 SHA-256 且置信度不低于 0.95 的直接工件证据。</w:t>
      </w:r>
    </w:p>
    <w:p w14:paraId="53186E2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当前输入层能登记/分类 text、image、json、yaml、csv、pdf、openapi、archive 等资产，并校验 JSON/OpenAPI；但源代码中并未体现专用 PDF/图像语义解析器，YAML 也未做完整语法解析，因此方案应写作“统一资产接入与结构化登记”，不宜写成“所有格式均已由专用解析器深度理解”。</w:t>
      </w:r>
    </w:p>
    <w:p w14:paraId="257E6DC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scope 类型覆盖 host/domain/IPv4/CIDR/URL，不含 IPv6；`.7z` 会被 intake 识别为 archive，但安全解包实现按 zip 或 tar 处理，未看到独立 7z 解包路径。这两项应纳入赛前增强/限制说明。</w:t>
      </w:r>
    </w:p>
    <w:p w14:paraId="6AF8476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Autonomous 模式在完成隔离与一次授权后，会把应用层越 scope 从 block 降级为高危 warn；OS/container、protected paths、budget、audit 仍不可关闭。正式比赛建议再叠加“主办方声明范围硬边界”，避免隔离环境中的探索范围与比赛授权范围混淆。</w:t>
      </w:r>
    </w:p>
    <w:p w14:paraId="137E29C0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代码依据：packages/secagent/README.md；packages/secagent/docs/architecture.md；packages/secagent/src/core/types.ts；packages/secagent/src/intake/intake.ts；packages/secagent/src/intake/archive.ts；packages/secagent/src/tools/gateway.ts</w:t>
      </w:r>
    </w:p>
    <w:p w14:paraId="519703C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28"/>
          <w:szCs w:val="28"/>
          <w:lang w:val="en-US" w:eastAsia="zh-CN" w:bidi="ar-SA"/>
        </w:rPr>
        <w:t>0.4 与赛题高分标准的设计对应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706"/>
        <w:gridCol w:w="3005"/>
      </w:tblGrid>
      <w:tr w14:paraId="107F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DCE6F1"/>
            <w:vAlign w:val="center"/>
          </w:tcPr>
          <w:p w14:paraId="42793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评分维度</w:t>
            </w:r>
          </w:p>
        </w:tc>
        <w:tc>
          <w:tcPr>
            <w:tcW w:w="4706" w:type="dxa"/>
            <w:shd w:val="clear" w:color="auto" w:fill="DCE6F1"/>
            <w:vAlign w:val="center"/>
          </w:tcPr>
          <w:p w14:paraId="0D03CB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高分要求在本方案中的回答</w:t>
            </w:r>
          </w:p>
        </w:tc>
        <w:tc>
          <w:tcPr>
            <w:tcW w:w="3005" w:type="dxa"/>
            <w:shd w:val="clear" w:color="auto" w:fill="DCE6F1"/>
            <w:vAlign w:val="center"/>
          </w:tcPr>
          <w:p w14:paraId="0C5E84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主要工程证据</w:t>
            </w:r>
          </w:p>
        </w:tc>
      </w:tr>
      <w:tr w14:paraId="6C53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57477A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任务理解与执行设计（20）</w:t>
            </w:r>
          </w:p>
        </w:tc>
        <w:tc>
          <w:tcPr>
            <w:tcW w:w="4706" w:type="dxa"/>
            <w:vAlign w:val="center"/>
          </w:tcPr>
          <w:p w14:paraId="3B7FA3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SecurityTaskSpec、场景识别、候选动作生成、效用排序、Observer/Replanner、五类受控基准与多场景任务链</w:t>
            </w:r>
          </w:p>
        </w:tc>
        <w:tc>
          <w:tcPr>
            <w:tcW w:w="3005" w:type="dxa"/>
            <w:vAlign w:val="center"/>
          </w:tcPr>
          <w:p w14:paraId="5EFE7C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intake、candidate-generator、planner、autonomous-loop、scenarios</w:t>
            </w:r>
          </w:p>
        </w:tc>
      </w:tr>
      <w:tr w14:paraId="70AB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6D37F4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系统架构与工程实现（20）</w:t>
            </w:r>
          </w:p>
        </w:tc>
        <w:tc>
          <w:tcPr>
            <w:tcW w:w="4706" w:type="dxa"/>
            <w:vAlign w:val="center"/>
          </w:tcPr>
          <w:p w14:paraId="53612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Profile 隔离、SecAgentRuntime 单一状态桥、事件溯源状态、结构化 Gateway、固定版本运行包、CLI/Web 双入口</w:t>
            </w:r>
          </w:p>
        </w:tc>
        <w:tc>
          <w:tcPr>
            <w:tcW w:w="3005" w:type="dxa"/>
            <w:vAlign w:val="center"/>
          </w:tcPr>
          <w:p w14:paraId="3A2710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profile/runtime、gateway、runtime-packages、Web Profile API</w:t>
            </w:r>
          </w:p>
        </w:tc>
      </w:tr>
      <w:tr w14:paraId="5F0F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1E76E1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决策逻辑与可解释性（20）</w:t>
            </w:r>
          </w:p>
        </w:tc>
        <w:tc>
          <w:tcPr>
            <w:tcW w:w="4706" w:type="dxa"/>
            <w:vAlign w:val="center"/>
          </w:tcPr>
          <w:p w14:paraId="5C0F2B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Decision 保存候选、选择理由、预算快照与实际结果；Evidence Graph、Verifier、Observer、Audit、报告重建</w:t>
            </w:r>
          </w:p>
        </w:tc>
        <w:tc>
          <w:tcPr>
            <w:tcW w:w="3005" w:type="dxa"/>
            <w:vAlign w:val="center"/>
          </w:tcPr>
          <w:p w14:paraId="5037BA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types、planner、evidence-graph、verifier、observer、report</w:t>
            </w:r>
          </w:p>
        </w:tc>
      </w:tr>
      <w:tr w14:paraId="5FF6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F53AB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工具协同与扩展能力（20）</w:t>
            </w:r>
          </w:p>
        </w:tc>
        <w:tc>
          <w:tcPr>
            <w:tcW w:w="4706" w:type="dxa"/>
            <w:vAlign w:val="center"/>
          </w:tcPr>
          <w:p w14:paraId="16075C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 catalog/registry/adapter 标准、MCP 风险映射、六专家委派、CTF capability overlays</w:t>
            </w:r>
          </w:p>
        </w:tc>
        <w:tc>
          <w:tcPr>
            <w:tcW w:w="3005" w:type="dxa"/>
            <w:vAlign w:val="center"/>
          </w:tcPr>
          <w:p w14:paraId="66E7C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tools/*、integrations/*、agents/*</w:t>
            </w:r>
          </w:p>
        </w:tc>
      </w:tr>
      <w:tr w14:paraId="3B02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1887C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创新与附加价值（20）</w:t>
            </w:r>
          </w:p>
        </w:tc>
        <w:tc>
          <w:tcPr>
            <w:tcW w:w="4706" w:type="dxa"/>
            <w:vAlign w:val="center"/>
          </w:tcPr>
          <w:p w14:paraId="4857A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风险约束状态空间搜索、能力族级防停滞重规划、证据晋升门与外部终止门、Coding/Sec 不侵入式双 Profile</w:t>
            </w:r>
          </w:p>
        </w:tc>
        <w:tc>
          <w:tcPr>
            <w:tcW w:w="3005" w:type="dxa"/>
            <w:vAlign w:val="center"/>
          </w:tcPr>
          <w:p w14:paraId="40D05C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autonomous-loop、planner、evidence-promoter、verifier、agent-profile</w:t>
            </w:r>
          </w:p>
        </w:tc>
      </w:tr>
    </w:tbl>
    <w:p w14:paraId="44305A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6C7D77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eastAsia="宋体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 xml:space="preserve">1. </w:t>
      </w:r>
      <w:r>
        <w:rPr>
          <w:rFonts w:hint="eastAsia" w:eastAsia="宋体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项目背景与问题定义</w:t>
      </w:r>
    </w:p>
    <w:p w14:paraId="275A952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 xml:space="preserve">1.1 </w:t>
      </w:r>
      <w:r>
        <w:rPr>
          <w:rFonts w:hint="eastAsia" w:ascii="宋体" w:hAnsi="宋体" w:eastAsia="宋体" w:cs="宋体"/>
          <w:b/>
          <w:bCs/>
          <w:color w:val="auto"/>
          <w:kern w:val="2"/>
          <w:sz w:val="30"/>
          <w:szCs w:val="30"/>
          <w:lang w:val="en-US" w:eastAsia="zh-CN" w:bidi="ar-SA"/>
        </w:rPr>
        <w:t>赛题目标理解</w:t>
      </w:r>
    </w:p>
    <w:p w14:paraId="3001D3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赛题要求构建面向多变真实网络环境的通用安全智能体，使其能够理解复杂开放式任务，综合分析、推理与工具调用能力，自主完成从威胁感知、分析研判到响应处置的闭环，并具备可解释、可审计、可复现的行为逻辑。由此可见，比赛考察的不是“让大模型会调用 Nmap”这一单点能力，而是任务理解、动态规划、安全执行、跨工具协同、证据验证和工程可靠性的系统性组合。</w:t>
      </w:r>
    </w:p>
    <w:p w14:paraId="23D557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将核心问题定义为：在明确授权、风险等级、工具能力、预算与隔离边界共同约束下，如何让智能体持续寻找能够最大化目标贡献和信息增益的安全动作，并把每次动作的结果转化为可复用状态和可验证证据。</w:t>
      </w:r>
    </w:p>
    <w:p w14:paraId="3234D8D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1.2 传统“LLM + Shell”方案的结构性问题</w:t>
      </w:r>
    </w:p>
    <w:p w14:paraId="6408044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任务与授权混在自然语言里：模型可能把附件中出现的地址、URL 或命令误当作真实授权。</w:t>
      </w:r>
    </w:p>
    <w:p w14:paraId="0404277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执行与推理耦合：模型直接拼接命令会让风险、scope、预算和审计难以形成不可绕过的统一边界。</w:t>
      </w:r>
    </w:p>
    <w:p w14:paraId="5F1FDC1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扫描结果直接等于漏洞结论：缺少独立证据、冲突证据处理和 finding 晋升门，容易产生误报。</w:t>
      </w:r>
    </w:p>
    <w:p w14:paraId="7498ED8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失败后只换工具名：如果不在“能力族”层面建模失败，系统可能从 curl 换到 wget、从一种枚举器换到另一种，表面变化但策略并未真正调整。</w:t>
      </w:r>
    </w:p>
    <w:p w14:paraId="33BED83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聊天记录不等于状态机：长任务中发生重连、重启、分支或子 Agent 委派时，纯对话上下文难以可靠恢复。</w:t>
      </w:r>
    </w:p>
    <w:p w14:paraId="1000136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扩展工具缺少统一元数据：工具风险、前置条件、是否需要 scope、适合哪类 Agent 等信息若硬编码在 prompt 中，难以维护和审计。</w:t>
      </w:r>
    </w:p>
    <w:p w14:paraId="32F588C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1.3 SecAgent 的核心定位</w:t>
      </w:r>
    </w:p>
    <w:p w14:paraId="6AA7DA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的定位是“受约束的自主安全执行系统”，而不是“无限权限自动攻击器”。模型负责理解目标、形成假设和提出候选策略；确定性内核负责将候选动作约束为结构化输入，并通过统一 Gateway 执行。系统将自主性放在“允许的状态空间中持续搜索”这一层，而把授权、隔离、受保护路径、预算、审计和 Finding Gate 设计成独立于模型文本的强约束。</w:t>
      </w:r>
    </w:p>
    <w:p w14:paraId="2FA9F5C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2. 设计目标、原则与非目标</w:t>
      </w:r>
    </w:p>
    <w:p w14:paraId="2C01524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2.1 功能目标</w:t>
      </w:r>
    </w:p>
    <w:p w14:paraId="5D87726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支持自然语言目标与多类型输入资产登记，构造统一 SecurityTaskSpec；将任务场景、约束、成功条件、声明授权与待确认事项分离。</w:t>
      </w:r>
    </w:p>
    <w:p w14:paraId="4954F74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支持 penetration-test、incident-response、vulnerability-research、web-security、reverse-engineering、ctf 六类 SecurityScenario，并以 Web/Pwn/Reverse/Forensics/Killchain 作为当前受控基准族。</w:t>
      </w:r>
    </w:p>
    <w:p w14:paraId="042AD04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通过 Candidate Generator、Planner/Replanner、Observer 和 AutonomousSearchLoop 实现动态闭环，而非一次性静态计划。</w:t>
      </w:r>
    </w:p>
    <w:p w14:paraId="45FEAA2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全部受审计安全工具经 SecurityExecutionGateway 统一检查并产生 ToolAuditRecord。</w:t>
      </w:r>
    </w:p>
    <w:p w14:paraId="11F8B87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支持 MCP 工具风险翻译、有界 specialist child sessions、CTF capability overlays 和标准工具适配器扩展。</w:t>
      </w:r>
    </w:p>
    <w:p w14:paraId="40DF998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通过 Evidence Graph、Verifier、Finding Gate 与外部终止门保证结论与停止条件均可被结构化证据支持。</w:t>
      </w:r>
    </w:p>
    <w:p w14:paraId="6514EB2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向 CLI 与 Pi Web 暴露同一 SecAgentRuntime 快照、命令和订阅接口，支持报告导出和审计呈现。</w:t>
      </w:r>
    </w:p>
    <w:p w14:paraId="49FDAA7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2.2 非功能目标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4535"/>
      </w:tblGrid>
      <w:tr w14:paraId="4C9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432606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属性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493A1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目标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139F89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设计手段</w:t>
            </w:r>
          </w:p>
        </w:tc>
      </w:tr>
      <w:tr w14:paraId="672A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0500C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安全性</w:t>
            </w:r>
          </w:p>
        </w:tc>
        <w:tc>
          <w:tcPr>
            <w:tcW w:w="3515" w:type="dxa"/>
            <w:vAlign w:val="center"/>
          </w:tcPr>
          <w:p w14:paraId="7FBC4F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默认不越权、关键边界不能由模型绕过</w:t>
            </w:r>
          </w:p>
        </w:tc>
        <w:tc>
          <w:tcPr>
            <w:tcW w:w="4535" w:type="dxa"/>
            <w:vAlign w:val="center"/>
          </w:tcPr>
          <w:p w14:paraId="7AA42E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明确 scope；P0-P3 policy；protected paths；sandbox/container；Gateway 单入口</w:t>
            </w:r>
          </w:p>
        </w:tc>
      </w:tr>
      <w:tr w14:paraId="396C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40BB2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可靠性</w:t>
            </w:r>
          </w:p>
        </w:tc>
        <w:tc>
          <w:tcPr>
            <w:tcW w:w="3515" w:type="dxa"/>
            <w:vAlign w:val="center"/>
          </w:tcPr>
          <w:p w14:paraId="09ABE8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失败可观察、可降级、不会无限重试</w:t>
            </w:r>
          </w:p>
        </w:tc>
        <w:tc>
          <w:tcPr>
            <w:tcW w:w="4535" w:type="dxa"/>
            <w:vAlign w:val="center"/>
          </w:tcPr>
          <w:p w14:paraId="030432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Observer、能力族级重复失败检测、budget、step bound、结构化 diagnostics</w:t>
            </w:r>
          </w:p>
        </w:tc>
      </w:tr>
      <w:tr w14:paraId="0B44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7D107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可解释性</w:t>
            </w:r>
          </w:p>
        </w:tc>
        <w:tc>
          <w:tcPr>
            <w:tcW w:w="3515" w:type="dxa"/>
            <w:vAlign w:val="center"/>
          </w:tcPr>
          <w:p w14:paraId="6733E9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每次关键动作可回答“为什么、凭什么、结果是什么”</w:t>
            </w:r>
          </w:p>
        </w:tc>
        <w:tc>
          <w:tcPr>
            <w:tcW w:w="4535" w:type="dxa"/>
            <w:vAlign w:val="center"/>
          </w:tcPr>
          <w:p w14:paraId="635184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Decision + Audit + Evidence Graph + Verification + Report</w:t>
            </w:r>
          </w:p>
        </w:tc>
      </w:tr>
      <w:tr w14:paraId="4A27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CF62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可复现性</w:t>
            </w:r>
          </w:p>
        </w:tc>
        <w:tc>
          <w:tcPr>
            <w:tcW w:w="3515" w:type="dxa"/>
            <w:vAlign w:val="center"/>
          </w:tcPr>
          <w:p w14:paraId="5A849C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同一事件序列可重建安全状态与报告</w:t>
            </w:r>
          </w:p>
        </w:tc>
        <w:tc>
          <w:tcPr>
            <w:tcW w:w="4535" w:type="dxa"/>
            <w:vAlign w:val="center"/>
          </w:tcPr>
          <w:p w14:paraId="0F0FEA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event-sourced SecurityState、Session custom entries、SHA-256 provenance</w:t>
            </w:r>
          </w:p>
        </w:tc>
      </w:tr>
      <w:tr w14:paraId="5E14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CF3C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可扩展性</w:t>
            </w:r>
          </w:p>
        </w:tc>
        <w:tc>
          <w:tcPr>
            <w:tcW w:w="3515" w:type="dxa"/>
            <w:vAlign w:val="center"/>
          </w:tcPr>
          <w:p w14:paraId="14E039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新工具/新场景/新 Agent 不改核心 loop</w:t>
            </w:r>
          </w:p>
        </w:tc>
        <w:tc>
          <w:tcPr>
            <w:tcW w:w="4535" w:type="dxa"/>
            <w:vAlign w:val="center"/>
          </w:tcPr>
          <w:p w14:paraId="44DE28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catalog/registry/adapter、Profile extension、MCP、subagent delegation</w:t>
            </w:r>
          </w:p>
        </w:tc>
      </w:tr>
      <w:tr w14:paraId="336D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FC4ED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兼容性</w:t>
            </w:r>
          </w:p>
        </w:tc>
        <w:tc>
          <w:tcPr>
            <w:tcW w:w="3515" w:type="dxa"/>
            <w:vAlign w:val="center"/>
          </w:tcPr>
          <w:p w14:paraId="13496A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不破坏 Pi 原 coding 场景</w:t>
            </w:r>
          </w:p>
        </w:tc>
        <w:tc>
          <w:tcPr>
            <w:tcW w:w="4535" w:type="dxa"/>
            <w:vAlign w:val="center"/>
          </w:tcPr>
          <w:p w14:paraId="3B2AA7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coding 默认；sec opt-in；Session agentMode 不可变；资源仅在 sec 加载</w:t>
            </w:r>
          </w:p>
        </w:tc>
      </w:tr>
      <w:tr w14:paraId="3DA2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42FBA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竞赛适配</w:t>
            </w:r>
          </w:p>
        </w:tc>
        <w:tc>
          <w:tcPr>
            <w:tcW w:w="3515" w:type="dxa"/>
            <w:vAlign w:val="center"/>
          </w:tcPr>
          <w:p w14:paraId="518162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可在主办方受控环境部署并接国内备案模型</w:t>
            </w:r>
          </w:p>
        </w:tc>
        <w:tc>
          <w:tcPr>
            <w:tcW w:w="4535" w:type="dxa"/>
            <w:vAlign w:val="center"/>
          </w:tcPr>
          <w:p w14:paraId="1E42F4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模型与执行解耦；Provider 由宿主配置；容器化与隔离 npm prefix</w:t>
            </w:r>
          </w:p>
        </w:tc>
      </w:tr>
    </w:tbl>
    <w:p w14:paraId="4606E3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70098ED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2.3 非目标与安全边界</w:t>
      </w:r>
    </w:p>
    <w:p w14:paraId="575F533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不重新实现所有安全扫描器；外部工具仍是独立依赖，SecAgent 负责选择、约束、编排、归一化与审计。</w:t>
      </w:r>
    </w:p>
    <w:p w14:paraId="44AC653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不把模型隐藏思维链作为可解释性证据；可解释性来自结构化候选、rationale、事件、工具审计、证据关系和验证记录。</w:t>
      </w:r>
    </w:p>
    <w:p w14:paraId="34BD451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不宣称受控 CI 基准等同于真实互联网攻击成功率；受控执行器主要验证决策内核和安全不变量。</w:t>
      </w:r>
    </w:p>
    <w:p w14:paraId="0B2BACB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不在 Session 启动时自动安装依赖；部署阶段固定版本安装，运行时仅检测并报告缺失。</w:t>
      </w:r>
    </w:p>
    <w:p w14:paraId="2FAB184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不允许附件自动扩大授权范围；附件是待分析数据，scope 必须由操作者或受控比赛环境显式提供。</w:t>
      </w:r>
    </w:p>
    <w:p w14:paraId="66A38F1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3. 系统上下文与总体架构</w:t>
      </w:r>
    </w:p>
    <w:p w14:paraId="6681BD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6035040" cy="38461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4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4566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3-1  SecAgent 系统上下文与分层架构（基于当前代码边界重绘）</w:t>
      </w:r>
    </w:p>
    <w:p w14:paraId="15C7540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3.1 与 Pi Agent Harness 的边界</w:t>
      </w:r>
    </w:p>
    <w:p w14:paraId="2E3080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复用 Pi 的模型/provider 抽象、底层 Agent Loop、tool-call 生命周期、AgentSession 持久化、Session tree、扩展加载和通用 UI 请求机制。安全能力不通过 fork 底层 Agent Loop 实现，而是由 Agent Profile 选择，在 `agentMode="sec"` 的 Session 中装配 SecAgentRuntime 和安全扩展。</w:t>
      </w:r>
    </w:p>
    <w:p w14:paraId="5CE91F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这种做法的价值是把“通用 Agent 基础设施”和“网络安全决策语义”解耦：通用能力可以持续继承 Pi 生态更新，而比赛相关的授权、风险、证据、工具适配和自主规划保持在 `packages/secagent` 内部。</w:t>
      </w:r>
    </w:p>
    <w:p w14:paraId="6B9AF85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3.2 Coding/Sec 双 Profile 隔离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798"/>
        <w:gridCol w:w="3798"/>
      </w:tblGrid>
      <w:tr w14:paraId="0751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2B4088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</w:t>
            </w:r>
          </w:p>
        </w:tc>
        <w:tc>
          <w:tcPr>
            <w:tcW w:w="3798" w:type="dxa"/>
            <w:shd w:val="clear" w:color="auto" w:fill="DCE6F1"/>
            <w:vAlign w:val="center"/>
          </w:tcPr>
          <w:p w14:paraId="34F723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coding Profile</w:t>
            </w:r>
          </w:p>
        </w:tc>
        <w:tc>
          <w:tcPr>
            <w:tcW w:w="3798" w:type="dxa"/>
            <w:shd w:val="clear" w:color="auto" w:fill="DCE6F1"/>
            <w:vAlign w:val="center"/>
          </w:tcPr>
          <w:p w14:paraId="76C1DD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 Profile</w:t>
            </w:r>
          </w:p>
        </w:tc>
      </w:tr>
      <w:tr w14:paraId="51B8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B0C7B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默认性</w:t>
            </w:r>
          </w:p>
        </w:tc>
        <w:tc>
          <w:tcPr>
            <w:tcW w:w="3798" w:type="dxa"/>
            <w:vAlign w:val="center"/>
          </w:tcPr>
          <w:p w14:paraId="672845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默认创建</w:t>
            </w:r>
          </w:p>
        </w:tc>
        <w:tc>
          <w:tcPr>
            <w:tcW w:w="3798" w:type="dxa"/>
            <w:vAlign w:val="center"/>
          </w:tcPr>
          <w:p w14:paraId="4C003B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必须显式选择</w:t>
            </w:r>
          </w:p>
        </w:tc>
      </w:tr>
      <w:tr w14:paraId="0DE0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7CF09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资源加载</w:t>
            </w:r>
          </w:p>
        </w:tc>
        <w:tc>
          <w:tcPr>
            <w:tcW w:w="3798" w:type="dxa"/>
            <w:vAlign w:val="center"/>
          </w:tcPr>
          <w:p w14:paraId="0066A8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通用 coding resources</w:t>
            </w:r>
          </w:p>
        </w:tc>
        <w:tc>
          <w:tcPr>
            <w:tcW w:w="3798" w:type="dxa"/>
            <w:vAlign w:val="center"/>
          </w:tcPr>
          <w:p w14:paraId="2C4618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SecAgentRuntime + security extensions + sec-only runtime packages</w:t>
            </w:r>
          </w:p>
        </w:tc>
      </w:tr>
      <w:tr w14:paraId="28A6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126302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Session 模式</w:t>
            </w:r>
          </w:p>
        </w:tc>
        <w:tc>
          <w:tcPr>
            <w:tcW w:w="3798" w:type="dxa"/>
            <w:vAlign w:val="center"/>
          </w:tcPr>
          <w:p w14:paraId="3CAC55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固定</w:t>
            </w:r>
          </w:p>
        </w:tc>
        <w:tc>
          <w:tcPr>
            <w:tcW w:w="3798" w:type="dxa"/>
            <w:vAlign w:val="center"/>
          </w:tcPr>
          <w:p w14:paraId="3C3130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固定</w:t>
            </w:r>
          </w:p>
        </w:tc>
      </w:tr>
      <w:tr w14:paraId="05F6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73159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模式切换</w:t>
            </w:r>
          </w:p>
        </w:tc>
        <w:tc>
          <w:tcPr>
            <w:tcW w:w="3798" w:type="dxa"/>
            <w:vAlign w:val="center"/>
          </w:tcPr>
          <w:p w14:paraId="1ADEAE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创建同 cwd 的新空白 Session</w:t>
            </w:r>
          </w:p>
        </w:tc>
        <w:tc>
          <w:tcPr>
            <w:tcW w:w="3798" w:type="dxa"/>
            <w:vAlign w:val="center"/>
          </w:tcPr>
          <w:p w14:paraId="559C3A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创建同 cwd 的新空白 Session</w:t>
            </w:r>
          </w:p>
        </w:tc>
      </w:tr>
      <w:tr w14:paraId="3A7E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467EF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历史迁移</w:t>
            </w:r>
          </w:p>
        </w:tc>
        <w:tc>
          <w:tcPr>
            <w:tcW w:w="3798" w:type="dxa"/>
            <w:vAlign w:val="center"/>
          </w:tcPr>
          <w:p w14:paraId="1225B0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不自动转换</w:t>
            </w:r>
          </w:p>
        </w:tc>
        <w:tc>
          <w:tcPr>
            <w:tcW w:w="3798" w:type="dxa"/>
            <w:vAlign w:val="center"/>
          </w:tcPr>
          <w:p w14:paraId="6C31B7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不自动复制 coding 历史</w:t>
            </w:r>
          </w:p>
        </w:tc>
      </w:tr>
      <w:tr w14:paraId="5C5C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30892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界面</w:t>
            </w:r>
          </w:p>
        </w:tc>
        <w:tc>
          <w:tcPr>
            <w:tcW w:w="3798" w:type="dxa"/>
            <w:vAlign w:val="center"/>
          </w:tcPr>
          <w:p w14:paraId="747A9D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普通工作区</w:t>
            </w:r>
          </w:p>
        </w:tc>
        <w:tc>
          <w:tcPr>
            <w:tcW w:w="3798" w:type="dxa"/>
            <w:vAlign w:val="center"/>
          </w:tcPr>
          <w:p w14:paraId="42AED7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安全任务、scope、policy、evidence、decision、audit、diagnostics、report</w:t>
            </w:r>
          </w:p>
        </w:tc>
      </w:tr>
    </w:tbl>
    <w:p w14:paraId="3E802A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42631AC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【架构价值】旧 Session 没有 agentMode 时按 coding 解释；显式模式与已持久化模式冲突时应拒绝启动。这一设计降低了安全功能对普通开发工作流的回归风险。</w:t>
      </w:r>
    </w:p>
    <w:p w14:paraId="5C6B47E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3.3 SecAgentRuntime：唯一状态桥</w:t>
      </w:r>
    </w:p>
    <w:p w14:paraId="3B50CB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CLI 与 Web 不直接解析自定义安全 Session 条目，而是通过 `SecAgentRuntime.snapshot()`、`command()` 与 `subscribe()` 读取/修改状态。这样可避免两个前端各自维护安全状态解释逻辑，也使同一任务的 CLI 与 Web 展示能够共享一致的持久化状态。</w:t>
      </w:r>
    </w:p>
    <w:p w14:paraId="73B1C5F5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代码依据：packages/secagent/docs/architecture.md；packages/secagent/src/runtime.ts；packages/secagent/src/profile.ts；packages/coding-agent/src/core/agent-profile.ts</w:t>
      </w:r>
    </w:p>
    <w:p w14:paraId="12BF203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4. 任务理解与多格式输入设计</w:t>
      </w:r>
    </w:p>
    <w:p w14:paraId="7A4AFE7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4.1 SecurityTaskSpec 统一任务模型</w:t>
      </w:r>
    </w:p>
    <w:p w14:paraId="52D251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任务入口最终归一化为 `SecurityTaskSpec`。相比把用户 prompt 原样传给模型，该结构显式分离 goal、scenario、assets、constraints、successCriteria、declaredAuthorization 与 pendingConfirmations，使“要做什么”“有哪些输入”“成功是什么”“授权来自哪里”“仍需确认什么”成为可审计字段。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3847"/>
        <w:gridCol w:w="3209"/>
      </w:tblGrid>
      <w:tr w14:paraId="40F9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0BAE8B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字段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C061B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作用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152FB6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设计意义</w:t>
            </w:r>
          </w:p>
        </w:tc>
      </w:tr>
      <w:tr w14:paraId="73E8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E3AA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id / createdAt</w:t>
            </w:r>
          </w:p>
        </w:tc>
        <w:tc>
          <w:tcPr>
            <w:tcW w:w="4252" w:type="dxa"/>
            <w:vAlign w:val="center"/>
          </w:tcPr>
          <w:p w14:paraId="54F04E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任务身份与创建时间</w:t>
            </w:r>
          </w:p>
        </w:tc>
        <w:tc>
          <w:tcPr>
            <w:tcW w:w="3402" w:type="dxa"/>
            <w:vAlign w:val="center"/>
          </w:tcPr>
          <w:p w14:paraId="2E3A38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用于事件关联、回放和报告</w:t>
            </w:r>
          </w:p>
        </w:tc>
      </w:tr>
      <w:tr w14:paraId="5200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0B8AD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goal</w:t>
            </w:r>
          </w:p>
        </w:tc>
        <w:tc>
          <w:tcPr>
            <w:tcW w:w="4252" w:type="dxa"/>
            <w:vAlign w:val="center"/>
          </w:tcPr>
          <w:p w14:paraId="04EF10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核心安全目标</w:t>
            </w:r>
          </w:p>
        </w:tc>
        <w:tc>
          <w:tcPr>
            <w:tcW w:w="3402" w:type="dxa"/>
            <w:vAlign w:val="center"/>
          </w:tcPr>
          <w:p w14:paraId="02CD6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Planner 的目标相关性依据</w:t>
            </w:r>
          </w:p>
        </w:tc>
      </w:tr>
      <w:tr w14:paraId="2722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9E398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scenario</w:t>
            </w:r>
          </w:p>
        </w:tc>
        <w:tc>
          <w:tcPr>
            <w:tcW w:w="4252" w:type="dxa"/>
            <w:vAlign w:val="center"/>
          </w:tcPr>
          <w:p w14:paraId="60F1BC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六类 SecurityScenario</w:t>
            </w:r>
          </w:p>
        </w:tc>
        <w:tc>
          <w:tcPr>
            <w:tcW w:w="3402" w:type="dxa"/>
            <w:vAlign w:val="center"/>
          </w:tcPr>
          <w:p w14:paraId="175919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驱动阶段与候选能力</w:t>
            </w:r>
          </w:p>
        </w:tc>
      </w:tr>
      <w:tr w14:paraId="59C4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3CECF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assets</w:t>
            </w:r>
          </w:p>
        </w:tc>
        <w:tc>
          <w:tcPr>
            <w:tcW w:w="4252" w:type="dxa"/>
            <w:vAlign w:val="center"/>
          </w:tcPr>
          <w:p w14:paraId="3B0488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输入资产元数据、路径、MIME、SHA-256、size</w:t>
            </w:r>
          </w:p>
        </w:tc>
        <w:tc>
          <w:tcPr>
            <w:tcW w:w="3402" w:type="dxa"/>
            <w:vAlign w:val="center"/>
          </w:tcPr>
          <w:p w14:paraId="63C53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形成工件 provenance</w:t>
            </w:r>
          </w:p>
        </w:tc>
      </w:tr>
      <w:tr w14:paraId="5305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9CE96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constraints</w:t>
            </w:r>
          </w:p>
        </w:tc>
        <w:tc>
          <w:tcPr>
            <w:tcW w:w="4252" w:type="dxa"/>
            <w:vAlign w:val="center"/>
          </w:tcPr>
          <w:p w14:paraId="54C19C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任务限制</w:t>
            </w:r>
          </w:p>
        </w:tc>
        <w:tc>
          <w:tcPr>
            <w:tcW w:w="3402" w:type="dxa"/>
            <w:vAlign w:val="center"/>
          </w:tcPr>
          <w:p w14:paraId="455086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进入 operational memory/规划边界</w:t>
            </w:r>
          </w:p>
        </w:tc>
      </w:tr>
      <w:tr w14:paraId="1249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D108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successCriteria</w:t>
            </w:r>
          </w:p>
        </w:tc>
        <w:tc>
          <w:tcPr>
            <w:tcW w:w="4252" w:type="dxa"/>
            <w:vAlign w:val="center"/>
          </w:tcPr>
          <w:p w14:paraId="37E839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外部成功条件</w:t>
            </w:r>
          </w:p>
        </w:tc>
        <w:tc>
          <w:tcPr>
            <w:tcW w:w="3402" w:type="dxa"/>
            <w:vAlign w:val="center"/>
          </w:tcPr>
          <w:p w14:paraId="500A6E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与 verified finding/termination guard 联动</w:t>
            </w:r>
          </w:p>
        </w:tc>
      </w:tr>
      <w:tr w14:paraId="4D5B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649D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declaredAuthorization</w:t>
            </w:r>
          </w:p>
        </w:tc>
        <w:tc>
          <w:tcPr>
            <w:tcW w:w="4252" w:type="dxa"/>
            <w:vAlign w:val="center"/>
          </w:tcPr>
          <w:p w14:paraId="3866FF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用户声明的授权信息</w:t>
            </w:r>
          </w:p>
        </w:tc>
        <w:tc>
          <w:tcPr>
            <w:tcW w:w="3402" w:type="dxa"/>
            <w:vAlign w:val="center"/>
          </w:tcPr>
          <w:p w14:paraId="4FF833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只作元数据，不等于网络 scope</w:t>
            </w:r>
          </w:p>
        </w:tc>
      </w:tr>
      <w:tr w14:paraId="7E44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3096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pendingConfirmations</w:t>
            </w:r>
          </w:p>
        </w:tc>
        <w:tc>
          <w:tcPr>
            <w:tcW w:w="4252" w:type="dxa"/>
            <w:vAlign w:val="center"/>
          </w:tcPr>
          <w:p w14:paraId="02780F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仍需明确的授权/目标范围事项</w:t>
            </w:r>
          </w:p>
        </w:tc>
        <w:tc>
          <w:tcPr>
            <w:tcW w:w="3402" w:type="dxa"/>
            <w:vAlign w:val="center"/>
          </w:tcPr>
          <w:p w14:paraId="413B6C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避免附件或默认值隐式授权</w:t>
            </w:r>
          </w:p>
        </w:tc>
      </w:tr>
    </w:tbl>
    <w:p w14:paraId="3249AD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0D50FF7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4.2 当前输入格式覆盖与真实能力边界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4439"/>
        <w:gridCol w:w="3021"/>
      </w:tblGrid>
      <w:tr w14:paraId="19BA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3595E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输入类型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4C1151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当前代码行为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33C30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实现状态/注意事项</w:t>
            </w:r>
          </w:p>
        </w:tc>
      </w:tr>
      <w:tr w14:paraId="0EC4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AE47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文本 / Markdown / Log</w:t>
            </w:r>
          </w:p>
        </w:tc>
        <w:tc>
          <w:tcPr>
            <w:tcW w:w="4535" w:type="dxa"/>
            <w:vAlign w:val="center"/>
          </w:tcPr>
          <w:p w14:paraId="7B76CC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分类为 text，可计算 SHA-256</w:t>
            </w:r>
          </w:p>
        </w:tc>
        <w:tc>
          <w:tcPr>
            <w:tcW w:w="3118" w:type="dxa"/>
            <w:vAlign w:val="center"/>
          </w:tcPr>
          <w:p w14:paraId="0A49FA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</w:t>
            </w:r>
          </w:p>
        </w:tc>
      </w:tr>
      <w:tr w14:paraId="5737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6699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JSON</w:t>
            </w:r>
          </w:p>
        </w:tc>
        <w:tc>
          <w:tcPr>
            <w:tcW w:w="4535" w:type="dxa"/>
            <w:vAlign w:val="center"/>
          </w:tcPr>
          <w:p w14:paraId="03A38C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分类并执行 JSON.parse 校验</w:t>
            </w:r>
          </w:p>
        </w:tc>
        <w:tc>
          <w:tcPr>
            <w:tcW w:w="3118" w:type="dxa"/>
            <w:vAlign w:val="center"/>
          </w:tcPr>
          <w:p w14:paraId="78A297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</w:t>
            </w:r>
          </w:p>
        </w:tc>
      </w:tr>
      <w:tr w14:paraId="11D38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71989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YAML</w:t>
            </w:r>
          </w:p>
        </w:tc>
        <w:tc>
          <w:tcPr>
            <w:tcW w:w="4535" w:type="dxa"/>
            <w:vAlign w:val="center"/>
          </w:tcPr>
          <w:p w14:paraId="244B91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分类为 yaml；若出现 OpenAPI/Swagger 关键字可识别为 openapi</w:t>
            </w:r>
          </w:p>
        </w:tc>
        <w:tc>
          <w:tcPr>
            <w:tcW w:w="3118" w:type="dxa"/>
            <w:vAlign w:val="center"/>
          </w:tcPr>
          <w:p w14:paraId="4B9BDF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部分实现：未看到完整 YAML 语法解析</w:t>
            </w:r>
          </w:p>
        </w:tc>
      </w:tr>
      <w:tr w14:paraId="25BB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E557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CSV</w:t>
            </w:r>
          </w:p>
        </w:tc>
        <w:tc>
          <w:tcPr>
            <w:tcW w:w="4535" w:type="dxa"/>
            <w:vAlign w:val="center"/>
          </w:tcPr>
          <w:p w14:paraId="3DA3F1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分类为 csv 并登记元数据</w:t>
            </w:r>
          </w:p>
        </w:tc>
        <w:tc>
          <w:tcPr>
            <w:tcW w:w="3118" w:type="dxa"/>
            <w:vAlign w:val="center"/>
          </w:tcPr>
          <w:p w14:paraId="2EEB9F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已实现登记；语义解析依赖后续模型/工具</w:t>
            </w:r>
          </w:p>
        </w:tc>
      </w:tr>
      <w:tr w14:paraId="0C72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FFF8B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PDF</w:t>
            </w:r>
          </w:p>
        </w:tc>
        <w:tc>
          <w:tcPr>
            <w:tcW w:w="4535" w:type="dxa"/>
            <w:vAlign w:val="center"/>
          </w:tcPr>
          <w:p w14:paraId="50B1EC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分类为 pdf、登记 path/MIME/hash/size</w:t>
            </w:r>
          </w:p>
        </w:tc>
        <w:tc>
          <w:tcPr>
            <w:tcW w:w="3118" w:type="dxa"/>
            <w:vAlign w:val="center"/>
          </w:tcPr>
          <w:p w14:paraId="42C1B9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已实现登记；当前 secagent 包未见专用 PDF 解析器</w:t>
            </w:r>
          </w:p>
        </w:tc>
      </w:tr>
      <w:tr w14:paraId="168A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072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Image</w:t>
            </w:r>
          </w:p>
        </w:tc>
        <w:tc>
          <w:tcPr>
            <w:tcW w:w="4535" w:type="dxa"/>
            <w:vAlign w:val="center"/>
          </w:tcPr>
          <w:p w14:paraId="6EF4D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按 MIME/扩展分类 image</w:t>
            </w:r>
          </w:p>
        </w:tc>
        <w:tc>
          <w:tcPr>
            <w:tcW w:w="3118" w:type="dxa"/>
            <w:vAlign w:val="center"/>
          </w:tcPr>
          <w:p w14:paraId="62D6B6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已实现登记；视觉理解依赖宿主模型能力</w:t>
            </w:r>
          </w:p>
        </w:tc>
      </w:tr>
      <w:tr w14:paraId="09A9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6EF7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OpenAPI/Swagger</w:t>
            </w:r>
          </w:p>
        </w:tc>
        <w:tc>
          <w:tcPr>
            <w:tcW w:w="4535" w:type="dxa"/>
            <w:vAlign w:val="center"/>
          </w:tcPr>
          <w:p w14:paraId="108600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对 JSON/YAML 文本做关键字和版本模式识别</w:t>
            </w:r>
          </w:p>
        </w:tc>
        <w:tc>
          <w:tcPr>
            <w:tcW w:w="3118" w:type="dxa"/>
            <w:vAlign w:val="center"/>
          </w:tcPr>
          <w:p w14:paraId="34029F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已实现基础识别/校验；不是完整 schema validator</w:t>
            </w:r>
          </w:p>
        </w:tc>
      </w:tr>
      <w:tr w14:paraId="4C0B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E4C20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Archive</w:t>
            </w:r>
          </w:p>
        </w:tc>
        <w:tc>
          <w:tcPr>
            <w:tcW w:w="4535" w:type="dxa"/>
            <w:vAlign w:val="center"/>
          </w:tcPr>
          <w:p w14:paraId="2EBBB4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识别 zip/tar/tgz/gz/7z；安全解包模块限制路径与大小</w:t>
            </w:r>
          </w:p>
        </w:tc>
        <w:tc>
          <w:tcPr>
            <w:tcW w:w="3118" w:type="dxa"/>
            <w:vAlign w:val="center"/>
          </w:tcPr>
          <w:p w14:paraId="5E896D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部分实现：安全解包实际区分 zip 与 tar；7z 未见独立处理</w:t>
            </w:r>
          </w:p>
        </w:tc>
      </w:tr>
    </w:tbl>
    <w:p w14:paraId="0EA0C2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098D2FBE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【真实性边界】赛题要求“理解自然语言、结构化文件、压缩文件、接口文档等多种形式”。当前代码已经建立统一 intake 与资产安全边界，但对于 PDF/图像/YAML 深度语义解析应谨慎表述为“通过宿主模型/后续工具进行内容理解”，而不是宣称 secagent 包内已实现全格式专用解析器。</w:t>
      </w:r>
    </w:p>
    <w:p w14:paraId="2F86688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4.3 压缩文件安全处理</w:t>
      </w:r>
    </w:p>
    <w:p w14:paraId="278690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`extractArchiveSafely()` 在解包前后各进行一次安全检查。默认限制为：最多 512 个条目、总解压大小 256 MiB、单条目 64 MiB、路径深度 8。预检查拒绝绝对路径、NUL、`../` 路径穿越；解包后拒绝符号链接、非普通文件、越界路径以及超限大小。临时目录带 `.pi-secagent-owned` 所有权标记，仅在确认由 SecAgent 创建时递归清理。</w:t>
      </w:r>
    </w:p>
    <w:p w14:paraId="65A87001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DEFAULT_ARCHIVE_LIMITS = {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maxFiles: 512,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maxTotalBytes: 256 * 1024 * 1024,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maxEntryBytes: 64 * 1024 * 1024,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maxDepth: 8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}</w:t>
      </w:r>
    </w:p>
    <w:p w14:paraId="7F10079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4.4 授权与任务输入解耦</w:t>
      </w:r>
    </w:p>
    <w:p w14:paraId="787EEC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输入附件可能来自攻击样本、日志、接口文档甚至恶意压缩包，因此系统坚持“内容不产生授权”。`declaredAuthorization` 只是任务声明字段；真正的网络执行仍由 `SecurityScope` 与 Gateway 检查。新任务启动后应重置任务相关 scope 与 autonomous authorization，防止上一任务的授权泄漏到下一任务。</w:t>
      </w:r>
    </w:p>
    <w:p w14:paraId="259C1F59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代码依据：packages/secagent/src/intake/intake.ts；packages/secagent/src/intake/archive.ts；packages/secagent/src/core/types.ts</w:t>
      </w:r>
    </w:p>
    <w:p w14:paraId="60855FE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5. 事件溯源安全状态与可恢复运行</w:t>
      </w:r>
    </w:p>
    <w:p w14:paraId="004353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6035040" cy="386651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6D52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5-1  SecurityState v5 与事件溯源模型</w:t>
      </w:r>
    </w:p>
    <w:p w14:paraId="314C374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5.1 SecurityState v5 组成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18"/>
        <w:gridCol w:w="3572"/>
      </w:tblGrid>
      <w:tr w14:paraId="2F29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054B9A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状态域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3B09EA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主要内容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07CD38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用途</w:t>
            </w:r>
          </w:p>
        </w:tc>
      </w:tr>
      <w:tr w14:paraId="3D3A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6F4C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task / goal / stage</w:t>
            </w:r>
          </w:p>
        </w:tc>
        <w:tc>
          <w:tcPr>
            <w:tcW w:w="3515" w:type="dxa"/>
            <w:vAlign w:val="center"/>
          </w:tcPr>
          <w:p w14:paraId="782686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任务、目标、understanding→report 阶段</w:t>
            </w:r>
          </w:p>
        </w:tc>
        <w:tc>
          <w:tcPr>
            <w:tcW w:w="3572" w:type="dxa"/>
            <w:vAlign w:val="center"/>
          </w:tcPr>
          <w:p w14:paraId="2D53A8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驱动候选生成和任务进度</w:t>
            </w:r>
          </w:p>
        </w:tc>
      </w:tr>
      <w:tr w14:paraId="5439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1B59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policyMode / isolation / authorization</w:t>
            </w:r>
          </w:p>
        </w:tc>
        <w:tc>
          <w:tcPr>
            <w:tcW w:w="3515" w:type="dxa"/>
            <w:vAlign w:val="center"/>
          </w:tcPr>
          <w:p w14:paraId="458FE5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strict/competition/autonomous、隔离状态、一次性授权</w:t>
            </w:r>
          </w:p>
        </w:tc>
        <w:tc>
          <w:tcPr>
            <w:tcW w:w="3572" w:type="dxa"/>
            <w:vAlign w:val="center"/>
          </w:tcPr>
          <w:p w14:paraId="55D73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决定执行许可边界</w:t>
            </w:r>
          </w:p>
        </w:tc>
      </w:tr>
      <w:tr w14:paraId="26E8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EE04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scope</w:t>
            </w:r>
          </w:p>
        </w:tc>
        <w:tc>
          <w:tcPr>
            <w:tcW w:w="3515" w:type="dxa"/>
            <w:vAlign w:val="center"/>
          </w:tcPr>
          <w:p w14:paraId="4F4FF7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host/domain/IPv4/CIDR/URL</w:t>
            </w:r>
          </w:p>
        </w:tc>
        <w:tc>
          <w:tcPr>
            <w:tcW w:w="3572" w:type="dxa"/>
            <w:vAlign w:val="center"/>
          </w:tcPr>
          <w:p w14:paraId="44847D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限制网络目标</w:t>
            </w:r>
          </w:p>
        </w:tc>
      </w:tr>
      <w:tr w14:paraId="7B6F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35A6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evidence / evidenceGraph</w:t>
            </w:r>
          </w:p>
        </w:tc>
        <w:tc>
          <w:tcPr>
            <w:tcW w:w="3515" w:type="dxa"/>
            <w:vAlign w:val="center"/>
          </w:tcPr>
          <w:p w14:paraId="6A656D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证据、边、假设、验证记录</w:t>
            </w:r>
          </w:p>
        </w:tc>
        <w:tc>
          <w:tcPr>
            <w:tcW w:w="3572" w:type="dxa"/>
            <w:vAlign w:val="center"/>
          </w:tcPr>
          <w:p w14:paraId="2CE7BA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支撑可解释结论</w:t>
            </w:r>
          </w:p>
        </w:tc>
      </w:tr>
      <w:tr w14:paraId="5125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C1F0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findings</w:t>
            </w:r>
          </w:p>
        </w:tc>
        <w:tc>
          <w:tcPr>
            <w:tcW w:w="3515" w:type="dxa"/>
            <w:vAlign w:val="center"/>
          </w:tcPr>
          <w:p w14:paraId="05789F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严重度、证据、verification、remediation</w:t>
            </w:r>
          </w:p>
        </w:tc>
        <w:tc>
          <w:tcPr>
            <w:tcW w:w="3572" w:type="dxa"/>
            <w:vAlign w:val="center"/>
          </w:tcPr>
          <w:p w14:paraId="331C1D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形成最终报告</w:t>
            </w:r>
          </w:p>
        </w:tc>
      </w:tr>
      <w:tr w14:paraId="4772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839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decisions / replans</w:t>
            </w:r>
          </w:p>
        </w:tc>
        <w:tc>
          <w:tcPr>
            <w:tcW w:w="3515" w:type="dxa"/>
            <w:vAlign w:val="center"/>
          </w:tcPr>
          <w:p w14:paraId="787C24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候选、选择、结果、重规划</w:t>
            </w:r>
          </w:p>
        </w:tc>
        <w:tc>
          <w:tcPr>
            <w:tcW w:w="3572" w:type="dxa"/>
            <w:vAlign w:val="center"/>
          </w:tcPr>
          <w:p w14:paraId="014DA8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完整决策轨迹</w:t>
            </w:r>
          </w:p>
        </w:tc>
      </w:tr>
      <w:tr w14:paraId="5725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CCEB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observerSignals</w:t>
            </w:r>
          </w:p>
        </w:tc>
        <w:tc>
          <w:tcPr>
            <w:tcW w:w="3515" w:type="dxa"/>
            <w:vAlign w:val="center"/>
          </w:tcPr>
          <w:p w14:paraId="35EB79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stalled/drift/repeated-failure/context-pressure/termination-risk</w:t>
            </w:r>
          </w:p>
        </w:tc>
        <w:tc>
          <w:tcPr>
            <w:tcW w:w="3572" w:type="dxa"/>
            <w:vAlign w:val="center"/>
          </w:tcPr>
          <w:p w14:paraId="1335E0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鲁棒性监督</w:t>
            </w:r>
          </w:p>
        </w:tc>
      </w:tr>
      <w:tr w14:paraId="4A9A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9F63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delegations</w:t>
            </w:r>
          </w:p>
        </w:tc>
        <w:tc>
          <w:tcPr>
            <w:tcW w:w="3515" w:type="dxa"/>
            <w:vAlign w:val="center"/>
          </w:tcPr>
          <w:p w14:paraId="753F49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专家委派生命周期和证据回收</w:t>
            </w:r>
          </w:p>
        </w:tc>
        <w:tc>
          <w:tcPr>
            <w:tcW w:w="3572" w:type="dxa"/>
            <w:vAlign w:val="center"/>
          </w:tcPr>
          <w:p w14:paraId="22A6E8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多 Agent 协同</w:t>
            </w:r>
          </w:p>
        </w:tc>
      </w:tr>
      <w:tr w14:paraId="4A7E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C1C4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budget</w:t>
            </w:r>
          </w:p>
        </w:tc>
        <w:tc>
          <w:tcPr>
            <w:tcW w:w="3515" w:type="dxa"/>
            <w:vAlign w:val="center"/>
          </w:tcPr>
          <w:p w14:paraId="46C412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决策/工具/重规划计数与 deadline</w:t>
            </w:r>
          </w:p>
        </w:tc>
        <w:tc>
          <w:tcPr>
            <w:tcW w:w="3572" w:type="dxa"/>
            <w:vAlign w:val="center"/>
          </w:tcPr>
          <w:p w14:paraId="6A8C17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约束无限搜索</w:t>
            </w:r>
          </w:p>
        </w:tc>
      </w:tr>
      <w:tr w14:paraId="069B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271D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ctfProfile</w:t>
            </w:r>
          </w:p>
        </w:tc>
        <w:tc>
          <w:tcPr>
            <w:tcW w:w="3515" w:type="dxa"/>
            <w:vAlign w:val="center"/>
          </w:tcPr>
          <w:p w14:paraId="0FFD8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题型、目标、能力、flag pattern、期望证据</w:t>
            </w:r>
          </w:p>
        </w:tc>
        <w:tc>
          <w:tcPr>
            <w:tcW w:w="3572" w:type="dxa"/>
            <w:vAlign w:val="center"/>
          </w:tcPr>
          <w:p w14:paraId="4B2E80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CTF 能力叠加</w:t>
            </w:r>
          </w:p>
        </w:tc>
      </w:tr>
    </w:tbl>
    <w:p w14:paraId="0CECAB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55745E3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5.2 SecurityEvent 与回放</w:t>
      </w:r>
    </w:p>
    <w:p w14:paraId="67D2B3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状态变化以 SecurityEvent 表示，包括 task_started、stage_changed、policy_changed、isolation_changed、autonomous_authorized、scope_set、evidence_added/evidence_linked、hypothesis_recorded/verified、finding_added、decision_recorded/completed、replan_recorded、observer_signal、delegation_recorded、budget_configured/consumed、ctf_profiled 等。通过按顺序回放事件，可恢复当前 SecurityState，而不依赖模型“记住”过去发生的事情。</w:t>
      </w:r>
    </w:p>
    <w:p w14:paraId="2F099CE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5.3 为什么不保存隐藏思维链</w:t>
      </w:r>
    </w:p>
    <w:p w14:paraId="40A066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可解释性需要可审查的事实，而不是不可验证的隐藏推理文本。SecAgent 将可解释性落到结构化 Decision.rationale、候选排名、Evidence Graph、Verification.reason、ObserverSignal.reason、ToolAuditRecord 和事件时间线。这样既能回答“为何执行此动作”，也避免把模型内部 chain-of-thought 当作工程事实。</w:t>
      </w:r>
    </w:p>
    <w:p w14:paraId="1BBFCC5F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代码依据：packages/secagent/src/core/types.ts；packages/secagent/src/core/state.ts；packages/secagent/docs/architecture.md</w:t>
      </w:r>
    </w:p>
    <w:p w14:paraId="5E8D7D7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6. 自主决策内核设计</w:t>
      </w:r>
    </w:p>
    <w:p w14:paraId="03962F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5486400" cy="55118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C3AF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6-1  自主决策状态闭环（原材料图）</w:t>
      </w:r>
    </w:p>
    <w:p w14:paraId="396C1BC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6.1 AutonomousSearchLoop 的单步状态机</w:t>
      </w:r>
    </w:p>
    <w:p w14:paraId="698687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`security_autonomous` 暴露 `step`、`run` 和 `inspect`。单步执行先检查外部终止条件与任务存在性，再拒绝创建第二个未解决 decision；随后推进 stage、运行自动验证和 Observer，检查 decision budget，生成候选动作；如需要重规划则检查 replan budget 并记录 replan；对候选评分后构造确定性动作输入，再创建 decision、消费预算、调用 Gateway、自动验证并再次观察，最后评估是否满足终止条件。</w:t>
      </w:r>
    </w:p>
    <w:p w14:paraId="19AC37CB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SecurityState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Candidate Generator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Planner / Replanner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deterministic action input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SecurityExecutionGateway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Evidence + provenance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Auto Verifier + Observer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external termination guard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-&gt; next SecurityState</w:t>
      </w:r>
    </w:p>
    <w:p w14:paraId="33234EF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6.2 运行步数与并发决策约束</w:t>
      </w:r>
    </w:p>
    <w:p w14:paraId="7F0F59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连续 `run` 默认最多执行 8 个 step，调用方可调整，但代码将上限硬限制为 50。若已经存在 pending decision，新的 autonomous step 会被阻断。这避免了同一状态上并行生成多个互相矛盾的动作，也为现场演示提供可预期的执行长度。</w:t>
      </w:r>
    </w:p>
    <w:p w14:paraId="0D684AE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6.3 阶段推进逻辑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4706"/>
        <w:gridCol w:w="2438"/>
      </w:tblGrid>
      <w:tr w14:paraId="7376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DCE6F1"/>
            <w:vAlign w:val="center"/>
          </w:tcPr>
          <w:p w14:paraId="053772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当前阶段</w:t>
            </w:r>
          </w:p>
        </w:tc>
        <w:tc>
          <w:tcPr>
            <w:tcW w:w="4706" w:type="dxa"/>
            <w:shd w:val="clear" w:color="auto" w:fill="DCE6F1"/>
            <w:vAlign w:val="center"/>
          </w:tcPr>
          <w:p w14:paraId="5507B4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推进条件</w:t>
            </w:r>
          </w:p>
        </w:tc>
        <w:tc>
          <w:tcPr>
            <w:tcW w:w="2438" w:type="dxa"/>
            <w:shd w:val="clear" w:color="auto" w:fill="DCE6F1"/>
            <w:vAlign w:val="center"/>
          </w:tcPr>
          <w:p w14:paraId="0916CA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下一阶段</w:t>
            </w:r>
          </w:p>
        </w:tc>
      </w:tr>
      <w:tr w14:paraId="48CA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7B7A2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understanding</w:t>
            </w:r>
          </w:p>
        </w:tc>
        <w:tc>
          <w:tcPr>
            <w:tcW w:w="4706" w:type="dxa"/>
            <w:vAlign w:val="center"/>
          </w:tcPr>
          <w:p w14:paraId="7D7315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存在 task</w:t>
            </w:r>
          </w:p>
        </w:tc>
        <w:tc>
          <w:tcPr>
            <w:tcW w:w="2438" w:type="dxa"/>
            <w:vAlign w:val="center"/>
          </w:tcPr>
          <w:p w14:paraId="68F8F8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planning</w:t>
            </w:r>
          </w:p>
        </w:tc>
      </w:tr>
      <w:tr w14:paraId="70B0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6F1CB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planning</w:t>
            </w:r>
          </w:p>
        </w:tc>
        <w:tc>
          <w:tcPr>
            <w:tcW w:w="4706" w:type="dxa"/>
            <w:vAlign w:val="center"/>
          </w:tcPr>
          <w:p w14:paraId="7F6E51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incident-response / reverse-engineering</w:t>
            </w:r>
          </w:p>
        </w:tc>
        <w:tc>
          <w:tcPr>
            <w:tcW w:w="2438" w:type="dxa"/>
            <w:vAlign w:val="center"/>
          </w:tcPr>
          <w:p w14:paraId="6794B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</w:t>
            </w:r>
          </w:p>
        </w:tc>
      </w:tr>
      <w:tr w14:paraId="7AD9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A42E5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planning</w:t>
            </w:r>
          </w:p>
        </w:tc>
        <w:tc>
          <w:tcPr>
            <w:tcW w:w="4706" w:type="dxa"/>
            <w:vAlign w:val="center"/>
          </w:tcPr>
          <w:p w14:paraId="0F7179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其他场景</w:t>
            </w:r>
          </w:p>
        </w:tc>
        <w:tc>
          <w:tcPr>
            <w:tcW w:w="2438" w:type="dxa"/>
            <w:vAlign w:val="center"/>
          </w:tcPr>
          <w:p w14:paraId="543FAC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recon</w:t>
            </w:r>
          </w:p>
        </w:tc>
      </w:tr>
      <w:tr w14:paraId="1B0F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FD08F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recon</w:t>
            </w:r>
          </w:p>
        </w:tc>
        <w:tc>
          <w:tcPr>
            <w:tcW w:w="4706" w:type="dxa"/>
            <w:vAlign w:val="center"/>
          </w:tcPr>
          <w:p w14:paraId="0DEB5C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已有 recon decision 成功</w:t>
            </w:r>
          </w:p>
        </w:tc>
        <w:tc>
          <w:tcPr>
            <w:tcW w:w="2438" w:type="dxa"/>
            <w:vAlign w:val="center"/>
          </w:tcPr>
          <w:p w14:paraId="1C72FD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</w:t>
            </w:r>
          </w:p>
        </w:tc>
      </w:tr>
      <w:tr w14:paraId="3D36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AA741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</w:t>
            </w:r>
          </w:p>
        </w:tc>
        <w:tc>
          <w:tcPr>
            <w:tcW w:w="4706" w:type="dxa"/>
            <w:vAlign w:val="center"/>
          </w:tcPr>
          <w:p w14:paraId="275B9E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存在 active hypothesis</w:t>
            </w:r>
          </w:p>
        </w:tc>
        <w:tc>
          <w:tcPr>
            <w:tcW w:w="2438" w:type="dxa"/>
            <w:vAlign w:val="center"/>
          </w:tcPr>
          <w:p w14:paraId="1A03C8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verification</w:t>
            </w:r>
          </w:p>
        </w:tc>
      </w:tr>
      <w:tr w14:paraId="11ED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374B4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verification</w:t>
            </w:r>
          </w:p>
        </w:tc>
        <w:tc>
          <w:tcPr>
            <w:tcW w:w="4706" w:type="dxa"/>
            <w:vAlign w:val="center"/>
          </w:tcPr>
          <w:p w14:paraId="3DC6E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外部终止条件 complete</w:t>
            </w:r>
          </w:p>
        </w:tc>
        <w:tc>
          <w:tcPr>
            <w:tcW w:w="2438" w:type="dxa"/>
            <w:vAlign w:val="center"/>
          </w:tcPr>
          <w:p w14:paraId="625DDB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report</w:t>
            </w:r>
          </w:p>
        </w:tc>
      </w:tr>
    </w:tbl>
    <w:p w14:paraId="14592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5D61BEA6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【设计审查】阶段机目前是简洁的启发式推进逻辑，而不是完整 BPMN 工作流；其优势是工程确定性高，缺点是复杂应急响应可能需要更细粒度阶段。可在后续版本扩展为场景特定 stage policy。</w:t>
      </w:r>
    </w:p>
    <w:p w14:paraId="6AB502F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6.4 候选动作效用函数</w:t>
      </w:r>
    </w:p>
    <w:p w14:paraId="578CD5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Planner 将候选动作的目标相关性、信息增益、置信度作为正向收益，把风险、成本、重复策略惩罚与预算压力作为负向项。当前代码权重如下：</w:t>
      </w:r>
    </w:p>
    <w:p w14:paraId="5538722A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score(a) = 0.30 * goalRelevance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+ 0.27 * informationGain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+ 0.18 * confidence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- 0.10 * risk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- 0.05 * cost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- 0.07 * noveltyPenalty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        - 0.03 * budgetPenalty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61"/>
        <w:gridCol w:w="5669"/>
      </w:tblGrid>
      <w:tr w14:paraId="1BD3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4D99A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因素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705278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权重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22649D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作用</w:t>
            </w:r>
          </w:p>
        </w:tc>
      </w:tr>
      <w:tr w14:paraId="3C6F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8C9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Goal Relevance</w:t>
            </w:r>
          </w:p>
        </w:tc>
        <w:tc>
          <w:tcPr>
            <w:tcW w:w="1361" w:type="dxa"/>
            <w:vAlign w:val="center"/>
          </w:tcPr>
          <w:p w14:paraId="0E1871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+0.30</w:t>
            </w:r>
          </w:p>
        </w:tc>
        <w:tc>
          <w:tcPr>
            <w:tcW w:w="5669" w:type="dxa"/>
            <w:vAlign w:val="center"/>
          </w:tcPr>
          <w:p w14:paraId="620234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优先直接推进当前安全目标的动作</w:t>
            </w:r>
          </w:p>
        </w:tc>
      </w:tr>
      <w:tr w14:paraId="1B13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21B3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Information Gain</w:t>
            </w:r>
          </w:p>
        </w:tc>
        <w:tc>
          <w:tcPr>
            <w:tcW w:w="1361" w:type="dxa"/>
            <w:vAlign w:val="center"/>
          </w:tcPr>
          <w:p w14:paraId="60A03F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+0.27</w:t>
            </w:r>
          </w:p>
        </w:tc>
        <w:tc>
          <w:tcPr>
            <w:tcW w:w="5669" w:type="dxa"/>
            <w:vAlign w:val="center"/>
          </w:tcPr>
          <w:p w14:paraId="0C9603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鼓励先获取能缩小假设空间的信息</w:t>
            </w:r>
          </w:p>
        </w:tc>
      </w:tr>
      <w:tr w14:paraId="01B1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C950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Confidence</w:t>
            </w:r>
          </w:p>
        </w:tc>
        <w:tc>
          <w:tcPr>
            <w:tcW w:w="1361" w:type="dxa"/>
            <w:vAlign w:val="center"/>
          </w:tcPr>
          <w:p w14:paraId="24094A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+0.18</w:t>
            </w:r>
          </w:p>
        </w:tc>
        <w:tc>
          <w:tcPr>
            <w:tcW w:w="5669" w:type="dxa"/>
            <w:vAlign w:val="center"/>
          </w:tcPr>
          <w:p w14:paraId="710BED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优先选择预期稳定、适配器成熟的路径</w:t>
            </w:r>
          </w:p>
        </w:tc>
      </w:tr>
      <w:tr w14:paraId="1E61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CD4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Risk</w:t>
            </w:r>
          </w:p>
        </w:tc>
        <w:tc>
          <w:tcPr>
            <w:tcW w:w="1361" w:type="dxa"/>
            <w:vAlign w:val="center"/>
          </w:tcPr>
          <w:p w14:paraId="6A0D68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-0.10</w:t>
            </w:r>
          </w:p>
        </w:tc>
        <w:tc>
          <w:tcPr>
            <w:tcW w:w="5669" w:type="dxa"/>
            <w:vAlign w:val="center"/>
          </w:tcPr>
          <w:p w14:paraId="6508AC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对高风险能力施加规划层惩罚；执行层仍由 Policy 强制裁决</w:t>
            </w:r>
          </w:p>
        </w:tc>
      </w:tr>
      <w:tr w14:paraId="4808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727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Cost</w:t>
            </w:r>
          </w:p>
        </w:tc>
        <w:tc>
          <w:tcPr>
            <w:tcW w:w="1361" w:type="dxa"/>
            <w:vAlign w:val="center"/>
          </w:tcPr>
          <w:p w14:paraId="5A1CD4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-0.05</w:t>
            </w:r>
          </w:p>
        </w:tc>
        <w:tc>
          <w:tcPr>
            <w:tcW w:w="5669" w:type="dxa"/>
            <w:vAlign w:val="center"/>
          </w:tcPr>
          <w:p w14:paraId="70DC30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考虑时间/执行成本</w:t>
            </w:r>
          </w:p>
        </w:tc>
      </w:tr>
      <w:tr w14:paraId="6D43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B594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Novelty Penalty</w:t>
            </w:r>
          </w:p>
        </w:tc>
        <w:tc>
          <w:tcPr>
            <w:tcW w:w="1361" w:type="dxa"/>
            <w:vAlign w:val="center"/>
          </w:tcPr>
          <w:p w14:paraId="55A3EF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-0.07</w:t>
            </w:r>
          </w:p>
        </w:tc>
        <w:tc>
          <w:tcPr>
            <w:tcW w:w="5669" w:type="dxa"/>
            <w:vAlign w:val="center"/>
          </w:tcPr>
          <w:p w14:paraId="4608BD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最近 4 次中同能力失败越多，惩罚越高</w:t>
            </w:r>
          </w:p>
        </w:tc>
      </w:tr>
      <w:tr w14:paraId="4B8A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AE18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Budget Penalty</w:t>
            </w:r>
          </w:p>
        </w:tc>
        <w:tc>
          <w:tcPr>
            <w:tcW w:w="1361" w:type="dxa"/>
            <w:vAlign w:val="center"/>
          </w:tcPr>
          <w:p w14:paraId="28E0B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-0.03</w:t>
            </w:r>
          </w:p>
        </w:tc>
        <w:tc>
          <w:tcPr>
            <w:tcW w:w="5669" w:type="dxa"/>
            <w:vAlign w:val="center"/>
          </w:tcPr>
          <w:p w14:paraId="14036E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预算越紧张且动作成本越高，惩罚越大</w:t>
            </w:r>
          </w:p>
        </w:tc>
      </w:tr>
    </w:tbl>
    <w:p w14:paraId="126540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A72B3A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6.5 能力族级防停滞与重规划</w:t>
      </w:r>
    </w:p>
    <w:p w14:paraId="0D99C4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策略 key 优先取 `candidate.capability`，否则才退化为 tool 名。这意味着 repeated-failure 不只看“某个可执行文件是否失败”，而是看“同一能力族是否反复失败”。最近 4 个 decision 中，若最新策略失败且同策略失败至少 2 次，Planner 会把该能力族降到其他候选之后，并生成 `repeated-failure` replan 记录。</w:t>
      </w:r>
    </w:p>
    <w:p w14:paraId="1C9326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重规划触发器还包括 decision-failed、decision-contradicted、decision-stalled、verification-contradicted、evidence-insufficient、budget-pressure、observer-drift。当前 Planner 代码直接处理决策失败/矛盾、Observer 信号和验证矛盾，其他 trigger 类型为状态模型预留。</w:t>
      </w:r>
    </w:p>
    <w:p w14:paraId="37B6147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6.6 Observer 侧车监督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4082"/>
        <w:gridCol w:w="3118"/>
      </w:tblGrid>
      <w:tr w14:paraId="3D59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098" w:type="dxa"/>
            <w:shd w:val="clear" w:color="auto" w:fill="DCE6F1"/>
            <w:vAlign w:val="center"/>
          </w:tcPr>
          <w:p w14:paraId="0522EB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信号</w:t>
            </w:r>
          </w:p>
        </w:tc>
        <w:tc>
          <w:tcPr>
            <w:tcW w:w="4082" w:type="dxa"/>
            <w:shd w:val="clear" w:color="auto" w:fill="DCE6F1"/>
            <w:vAlign w:val="center"/>
          </w:tcPr>
          <w:p w14:paraId="12575D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当前触发条件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5EFF09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意义</w:t>
            </w:r>
          </w:p>
        </w:tc>
      </w:tr>
      <w:tr w14:paraId="1F52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7EDE9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stalled</w:t>
            </w:r>
          </w:p>
        </w:tc>
        <w:tc>
          <w:tcPr>
            <w:tcW w:w="4082" w:type="dxa"/>
            <w:vAlign w:val="center"/>
          </w:tcPr>
          <w:p w14:paraId="57E23B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最近 5 个 decision 中至少 3 个 failed</w:t>
            </w:r>
          </w:p>
        </w:tc>
        <w:tc>
          <w:tcPr>
            <w:tcW w:w="3118" w:type="dxa"/>
            <w:vAlign w:val="center"/>
          </w:tcPr>
          <w:p w14:paraId="6B7DB1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判断任务推进停滞</w:t>
            </w:r>
          </w:p>
        </w:tc>
      </w:tr>
      <w:tr w14:paraId="3F92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5104A4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repeated-failure</w:t>
            </w:r>
          </w:p>
        </w:tc>
        <w:tc>
          <w:tcPr>
            <w:tcW w:w="4082" w:type="dxa"/>
            <w:vAlign w:val="center"/>
          </w:tcPr>
          <w:p w14:paraId="512D3C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同策略最近重复失败至少 2 次</w:t>
            </w:r>
          </w:p>
        </w:tc>
        <w:tc>
          <w:tcPr>
            <w:tcW w:w="3118" w:type="dxa"/>
            <w:vAlign w:val="center"/>
          </w:tcPr>
          <w:p w14:paraId="369549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critical；要求 materially different capability family</w:t>
            </w:r>
          </w:p>
        </w:tc>
      </w:tr>
      <w:tr w14:paraId="1603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3C0E3A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drift</w:t>
            </w:r>
          </w:p>
        </w:tc>
        <w:tc>
          <w:tcPr>
            <w:tcW w:w="4082" w:type="dxa"/>
            <w:vAlign w:val="center"/>
          </w:tcPr>
          <w:p w14:paraId="1E65E3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最近 decision 中 pending 至少 3 个</w:t>
            </w:r>
          </w:p>
        </w:tc>
        <w:tc>
          <w:tcPr>
            <w:tcW w:w="3118" w:type="dxa"/>
            <w:vAlign w:val="center"/>
          </w:tcPr>
          <w:p w14:paraId="3B390D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执行状态可能漂移</w:t>
            </w:r>
          </w:p>
        </w:tc>
      </w:tr>
      <w:tr w14:paraId="4B14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7B9974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context-pressure</w:t>
            </w:r>
          </w:p>
        </w:tc>
        <w:tc>
          <w:tcPr>
            <w:tcW w:w="4082" w:type="dxa"/>
            <w:vAlign w:val="center"/>
          </w:tcPr>
          <w:p w14:paraId="0831D5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budgetPressure ≥ 0.85</w:t>
            </w:r>
          </w:p>
        </w:tc>
        <w:tc>
          <w:tcPr>
            <w:tcW w:w="3118" w:type="dxa"/>
            <w:vAlign w:val="center"/>
          </w:tcPr>
          <w:p w14:paraId="26DB56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建议优先高置信度收敛路径</w:t>
            </w:r>
          </w:p>
        </w:tc>
      </w:tr>
      <w:tr w14:paraId="591A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6E3EC6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termination-risk</w:t>
            </w:r>
          </w:p>
        </w:tc>
        <w:tc>
          <w:tcPr>
            <w:tcW w:w="4082" w:type="dxa"/>
            <w:vAlign w:val="center"/>
          </w:tcPr>
          <w:p w14:paraId="702C3E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已到 report 且仍有 insufficient verification</w:t>
            </w:r>
          </w:p>
        </w:tc>
        <w:tc>
          <w:tcPr>
            <w:tcW w:w="3118" w:type="dxa"/>
            <w:vAlign w:val="center"/>
          </w:tcPr>
          <w:p w14:paraId="243892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防止带验证缺口结束</w:t>
            </w:r>
          </w:p>
        </w:tc>
      </w:tr>
    </w:tbl>
    <w:p w14:paraId="26A9DC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196442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6.7 Operational Memory</w:t>
      </w:r>
    </w:p>
    <w:p w14:paraId="35C142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Observer 还能从 SecurityState 构造轻量 operational memory：最近高置信事实（最多 12）、active ideas（最多 8）、constraints/scope（最多 12）和失败策略（最多 8）。这是一种“从可审计状态压缩工作记忆”的方式，可减少长上下文中模型仅依赖聊天历史造成的遗忘与漂移。</w:t>
      </w:r>
    </w:p>
    <w:p w14:paraId="0C7B4681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代码依据：packages/secagent/src/core/autonomous-loop.ts；packages/secagent/src/core/planner.ts；packages/secagent/src/core/observer.ts；packages/secagent/src/core/budget.ts</w:t>
      </w:r>
    </w:p>
    <w:p w14:paraId="7D92862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7. 确定性动作输入与安全执行网关</w:t>
      </w:r>
    </w:p>
    <w:p w14:paraId="2302AF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6126480" cy="3353435"/>
            <wp:effectExtent l="0" t="0" r="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8FC4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7-1  SecurityExecutionGateway 九步裁决链</w:t>
      </w:r>
    </w:p>
    <w:p w14:paraId="0705943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7.1 为什么需要“模型候选”和“真实执行”分离</w:t>
      </w:r>
    </w:p>
    <w:p w14:paraId="263F72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模型输出天然适合生成假设和候选策略，但不应直接获得不可约束的命令构造权。SecAgent 在 autonomous loop 中通过 `core/action-input.ts` 把选中的 Candidate 转换为适配器需要的结构化输入。只有存在明确 input builder 的工具才能进入该闭环；例如 FFUF 需要任务中存在工作区内 wordlist，二进制/取证分析需要工作区内普通文件。</w:t>
      </w:r>
    </w:p>
    <w:p w14:paraId="5A229951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【表述边界】需要准确区分：SecAgent 的通用工具 catalog 中仍包含 bash，policy 会对 shell 及嵌套工具进行风险判断；“模型不能在 autonomous loop 任意发明命令行”是当前实现可证明的边界，不应泛化为“系统任何地方都不存在 Shell 能力”。</w:t>
      </w:r>
    </w:p>
    <w:p w14:paraId="047936E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7.2 Gateway 的强制检查顺序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6DA3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30DBDF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阶段</w:t>
            </w:r>
          </w:p>
        </w:tc>
        <w:tc>
          <w:tcPr>
            <w:tcW w:w="6973" w:type="dxa"/>
            <w:shd w:val="clear" w:color="auto" w:fill="DCE6F1"/>
            <w:vAlign w:val="center"/>
          </w:tcPr>
          <w:p w14:paraId="510DEE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行为</w:t>
            </w:r>
          </w:p>
        </w:tc>
      </w:tr>
      <w:tr w14:paraId="55FE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E99F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Decision 绑定</w:t>
            </w:r>
          </w:p>
        </w:tc>
        <w:tc>
          <w:tcPr>
            <w:tcW w:w="6973" w:type="dxa"/>
            <w:vAlign w:val="center"/>
          </w:tcPr>
          <w:p w14:paraId="27AD0C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确认 decision 存在、未完成，且 selectedAction 指向请求 tool。</w:t>
            </w:r>
          </w:p>
        </w:tc>
      </w:tr>
      <w:tr w14:paraId="5BFE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EF39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Adapter</w:t>
            </w:r>
          </w:p>
        </w:tc>
        <w:tc>
          <w:tcPr>
            <w:tcW w:w="6973" w:type="dxa"/>
            <w:vAlign w:val="center"/>
          </w:tcPr>
          <w:p w14:paraId="1CC95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必须存在已注册 audited adapter，否则拒绝。</w:t>
            </w:r>
          </w:p>
        </w:tc>
      </w:tr>
      <w:tr w14:paraId="6101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82551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Protected Paths</w:t>
            </w:r>
          </w:p>
        </w:tc>
        <w:tc>
          <w:tcPr>
            <w:tcW w:w="6973" w:type="dxa"/>
            <w:vAlign w:val="center"/>
          </w:tcPr>
          <w:p w14:paraId="49D699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对输入涉及的敏感路径进行保护检查。</w:t>
            </w:r>
          </w:p>
        </w:tc>
      </w:tr>
      <w:tr w14:paraId="3A11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633A8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Scope</w:t>
            </w:r>
          </w:p>
        </w:tc>
        <w:tc>
          <w:tcPr>
            <w:tcW w:w="6973" w:type="dxa"/>
            <w:vAlign w:val="center"/>
          </w:tcPr>
          <w:p w14:paraId="1BADB1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提取目标并验证授权范围；strict/competition 越界直接 block。</w:t>
            </w:r>
          </w:p>
        </w:tc>
      </w:tr>
      <w:tr w14:paraId="4BCB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15CC0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Risk/Policy</w:t>
            </w:r>
          </w:p>
        </w:tc>
        <w:tc>
          <w:tcPr>
            <w:tcW w:w="6973" w:type="dxa"/>
            <w:vAlign w:val="center"/>
          </w:tcPr>
          <w:p w14:paraId="077AB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根据 registry 基础风险和 shell/MCP 规则生成 P0-P3，再决定 allow/confirm。</w:t>
            </w:r>
          </w:p>
        </w:tc>
      </w:tr>
      <w:tr w14:paraId="4D17E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F142E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Budget</w:t>
            </w:r>
          </w:p>
        </w:tc>
        <w:tc>
          <w:tcPr>
            <w:tcW w:w="6973" w:type="dxa"/>
            <w:vAlign w:val="center"/>
          </w:tcPr>
          <w:p w14:paraId="739C7F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tool-call 预算与 deadline 用尽时拒绝。</w:t>
            </w:r>
          </w:p>
        </w:tc>
      </w:tr>
      <w:tr w14:paraId="13C3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2855D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Availability</w:t>
            </w:r>
          </w:p>
        </w:tc>
        <w:tc>
          <w:tcPr>
            <w:tcW w:w="6973" w:type="dxa"/>
            <w:vAlign w:val="center"/>
          </w:tcPr>
          <w:p w14:paraId="24F582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检查外部可执行工具/运行能力是否可用。</w:t>
            </w:r>
          </w:p>
        </w:tc>
      </w:tr>
      <w:tr w14:paraId="0AEB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47CB5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Preconditions</w:t>
            </w:r>
          </w:p>
        </w:tc>
        <w:tc>
          <w:tcPr>
            <w:tcW w:w="6973" w:type="dxa"/>
            <w:vAlign w:val="center"/>
          </w:tcPr>
          <w:p w14:paraId="27C51B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适配器执行结构化前置条件，如 in-workspace artifact、wordlist、scope 等。</w:t>
            </w:r>
          </w:p>
        </w:tc>
      </w:tr>
      <w:tr w14:paraId="7582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A5806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Execute + Evidence + Audit</w:t>
            </w:r>
          </w:p>
        </w:tc>
        <w:tc>
          <w:tcPr>
            <w:tcW w:w="6973" w:type="dxa"/>
            <w:vAlign w:val="center"/>
          </w:tcPr>
          <w:p w14:paraId="3BDFE6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执行后归一化证据、关联 decisionId，并写 decision_completed 和 ToolAuditRecord。</w:t>
            </w:r>
          </w:p>
        </w:tc>
      </w:tr>
    </w:tbl>
    <w:p w14:paraId="365BA7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5CC9A7C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7.3 风险等级与三种 PolicyMode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304"/>
        <w:gridCol w:w="1304"/>
        <w:gridCol w:w="1304"/>
        <w:gridCol w:w="1304"/>
        <w:gridCol w:w="2721"/>
      </w:tblGrid>
      <w:tr w14:paraId="7713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0407E4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PolicyMode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23826D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P0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4B64EE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P1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418288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P2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088CF5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P3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005B89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越 scope</w:t>
            </w:r>
          </w:p>
        </w:tc>
      </w:tr>
      <w:tr w14:paraId="7FAD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ED51D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strict</w:t>
            </w:r>
          </w:p>
        </w:tc>
        <w:tc>
          <w:tcPr>
            <w:tcW w:w="1304" w:type="dxa"/>
            <w:vAlign w:val="center"/>
          </w:tcPr>
          <w:p w14:paraId="33919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391F2B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6E4B10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confirm</w:t>
            </w:r>
          </w:p>
        </w:tc>
        <w:tc>
          <w:tcPr>
            <w:tcW w:w="1304" w:type="dxa"/>
            <w:vAlign w:val="center"/>
          </w:tcPr>
          <w:p w14:paraId="5DBCEB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confirm</w:t>
            </w:r>
          </w:p>
        </w:tc>
        <w:tc>
          <w:tcPr>
            <w:tcW w:w="2721" w:type="dxa"/>
            <w:vAlign w:val="center"/>
          </w:tcPr>
          <w:p w14:paraId="157885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block</w:t>
            </w:r>
          </w:p>
        </w:tc>
      </w:tr>
      <w:tr w14:paraId="3BB5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3446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competition</w:t>
            </w:r>
          </w:p>
        </w:tc>
        <w:tc>
          <w:tcPr>
            <w:tcW w:w="1304" w:type="dxa"/>
            <w:vAlign w:val="center"/>
          </w:tcPr>
          <w:p w14:paraId="125510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42EDAC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5B8D3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557167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confirm</w:t>
            </w:r>
          </w:p>
        </w:tc>
        <w:tc>
          <w:tcPr>
            <w:tcW w:w="2721" w:type="dxa"/>
            <w:vAlign w:val="center"/>
          </w:tcPr>
          <w:p w14:paraId="6B379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block</w:t>
            </w:r>
          </w:p>
        </w:tc>
      </w:tr>
      <w:tr w14:paraId="2D25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69F40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autonomous*</w:t>
            </w:r>
          </w:p>
        </w:tc>
        <w:tc>
          <w:tcPr>
            <w:tcW w:w="1304" w:type="dxa"/>
            <w:vAlign w:val="center"/>
          </w:tcPr>
          <w:p w14:paraId="7BE25B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14DB2F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1F90D0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1304" w:type="dxa"/>
            <w:vAlign w:val="center"/>
          </w:tcPr>
          <w:p w14:paraId="41F3A6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allow</w:t>
            </w:r>
          </w:p>
        </w:tc>
        <w:tc>
          <w:tcPr>
            <w:tcW w:w="2721" w:type="dxa"/>
            <w:vAlign w:val="center"/>
          </w:tcPr>
          <w:p w14:paraId="179FBE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warn（仅满足隔离+一次授权后）</w:t>
            </w:r>
          </w:p>
        </w:tc>
      </w:tr>
    </w:tbl>
    <w:p w14:paraId="123E7A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FD1A4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* autonomous 并不是“关闭安全策略”。`canEnableAutonomous()` 要求 isolation 不是 unverified、存在 one-time authorization，且 authorization.isolationSource 必须与当前 isolation.source 一致。即使进入 autonomous，OS/container、protected paths、budget、audit 仍保持。</w:t>
      </w:r>
    </w:p>
    <w:p w14:paraId="67EB31F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7.4 P3 高风险模式识别</w:t>
      </w:r>
    </w:p>
    <w:p w14:paraId="39222E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对于 bash，`assessToolRisk()` 在 registry 基础风险上进一步检测典型破坏性命令，例如递归强制删除、mkfs/wipefs、写块设备、shutdown/reboot/poweroff/halt、iptables flush、curl/wget 管道到 shell 等，并提升到 P3。复合 shell 调用的有效风险还可以继承嵌套工具的最高相关风险。</w:t>
      </w:r>
    </w:p>
    <w:p w14:paraId="5D174A8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7.5 Scope 目标模型</w:t>
      </w:r>
    </w:p>
    <w:p w14:paraId="41BC85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`ScopeTargetKind` 包括 host、domain、ipv4、cidr、url。URL 会归一化到 hostname，domain/url scope 允许其子域；IPv4 CIDR 通过掩码判断。Gateway 对标准工具从 target/host/url/domain/address/ip/endpoint 等输入键提取目标；对 bash 从命令文本提取 URL/IPv4/domain；对 MCP 使用专门递归参数扫描。</w:t>
      </w:r>
    </w:p>
    <w:p w14:paraId="11EE9E3B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【设计建议】当前 scope 模型没有 IPv6 类型。对于“通用网络安全智能体”的长期目标，建议补充 ipv6 / ipv6-cidr，并针对 URL 中 IPv6 literal、国际化域名、端口和 scheme 约束补测试。</w:t>
      </w:r>
    </w:p>
    <w:p w14:paraId="39231BC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7.6 预算模型</w:t>
      </w:r>
    </w:p>
    <w:p w14:paraId="227270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默认 SecurityBudget 为 40 次 decision、120 次 tool-call、12 次 replan，并可设置 deadline。`budgetPressure()` 取各资源使用比的最大值；距离 deadline 少于 5 分钟会抬升到至少 0.8，少于 1 分钟至少 0.95，到期直接 1.0。预算既是硬终止约束，也是 Planner 的软惩罚输入。</w:t>
      </w:r>
    </w:p>
    <w:p w14:paraId="5D8BA870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代码依据：packages/secagent/src/core/action-input.ts；packages/secagent/src/tools/gateway.ts；packages/secagent/src/core/policy.ts；packages/secagent/src/core/scope.ts；packages/secagent/src/core/budget.ts；packages/secagent/src/core/protected-paths.ts</w:t>
      </w:r>
    </w:p>
    <w:p w14:paraId="388961A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8. 工具注册表、适配器与 MCP 协同</w:t>
      </w:r>
    </w:p>
    <w:p w14:paraId="02D9962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8.1 工具元数据标准</w:t>
      </w:r>
    </w:p>
    <w:p w14:paraId="2DAE4A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每个 SecurityToolMetadata 至少声明 name、aliases、category、baseRisk、scopeMode、capabilities、preconditions、postconditions、recommendedAgents 与 description。这样 Planner、Scope、Policy、专家 Agent 和诊断模块围绕同一份机器可读元数据工作，而不是把工具知识散落在 prompt 中。</w:t>
      </w:r>
    </w:p>
    <w:p w14:paraId="027DDAC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8.2 当前工具能力面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5410"/>
        <w:gridCol w:w="1146"/>
        <w:gridCol w:w="1937"/>
      </w:tblGrid>
      <w:tr w14:paraId="466F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4A6061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类别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272040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代表工具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A1EF8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基础风险示例</w:t>
            </w:r>
          </w:p>
        </w:tc>
        <w:tc>
          <w:tcPr>
            <w:tcW w:w="3005" w:type="dxa"/>
            <w:shd w:val="clear" w:color="auto" w:fill="DCE6F1"/>
            <w:vAlign w:val="center"/>
          </w:tcPr>
          <w:p w14:paraId="7E3302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设计说明</w:t>
            </w:r>
          </w:p>
        </w:tc>
      </w:tr>
      <w:tr w14:paraId="0DBC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7BC79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内部控制</w:t>
            </w:r>
          </w:p>
        </w:tc>
        <w:tc>
          <w:tcPr>
            <w:tcW w:w="2891" w:type="dxa"/>
            <w:vAlign w:val="center"/>
          </w:tcPr>
          <w:p w14:paraId="76BB0F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security_intake/state/scope/decide/tools/report</w:t>
            </w:r>
          </w:p>
        </w:tc>
        <w:tc>
          <w:tcPr>
            <w:tcW w:w="1701" w:type="dxa"/>
            <w:vAlign w:val="center"/>
          </w:tcPr>
          <w:p w14:paraId="59FFAE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P0</w:t>
            </w:r>
          </w:p>
        </w:tc>
        <w:tc>
          <w:tcPr>
            <w:tcW w:w="3005" w:type="dxa"/>
            <w:vAlign w:val="center"/>
          </w:tcPr>
          <w:p w14:paraId="5F8006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不需要网络 scope；维护任务/状态/报告</w:t>
            </w:r>
          </w:p>
        </w:tc>
      </w:tr>
      <w:tr w14:paraId="3888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3E62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本地文件</w:t>
            </w:r>
          </w:p>
        </w:tc>
        <w:tc>
          <w:tcPr>
            <w:tcW w:w="2891" w:type="dxa"/>
            <w:vAlign w:val="center"/>
          </w:tcPr>
          <w:p w14:paraId="4E7BEF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read/grep/find/ls</w:t>
            </w:r>
          </w:p>
        </w:tc>
        <w:tc>
          <w:tcPr>
            <w:tcW w:w="1701" w:type="dxa"/>
            <w:vAlign w:val="center"/>
          </w:tcPr>
          <w:p w14:paraId="607AB5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P0</w:t>
            </w:r>
          </w:p>
        </w:tc>
        <w:tc>
          <w:tcPr>
            <w:tcW w:w="3005" w:type="dxa"/>
            <w:vAlign w:val="center"/>
          </w:tcPr>
          <w:p w14:paraId="0693E9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只读基础能力</w:t>
            </w:r>
          </w:p>
        </w:tc>
      </w:tr>
      <w:tr w14:paraId="658A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A9F15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响应写入</w:t>
            </w:r>
          </w:p>
        </w:tc>
        <w:tc>
          <w:tcPr>
            <w:tcW w:w="2891" w:type="dxa"/>
            <w:vAlign w:val="center"/>
          </w:tcPr>
          <w:p w14:paraId="096A71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edit/write</w:t>
            </w:r>
          </w:p>
        </w:tc>
        <w:tc>
          <w:tcPr>
            <w:tcW w:w="1701" w:type="dxa"/>
            <w:vAlign w:val="center"/>
          </w:tcPr>
          <w:p w14:paraId="7E8CF9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P2</w:t>
            </w:r>
          </w:p>
        </w:tc>
        <w:tc>
          <w:tcPr>
            <w:tcW w:w="3005" w:type="dxa"/>
            <w:vAlign w:val="center"/>
          </w:tcPr>
          <w:p w14:paraId="1D3FBF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要求变更授权/回滚理解</w:t>
            </w:r>
          </w:p>
        </w:tc>
      </w:tr>
      <w:tr w14:paraId="0DF1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10524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Shell</w:t>
            </w:r>
          </w:p>
        </w:tc>
        <w:tc>
          <w:tcPr>
            <w:tcW w:w="2891" w:type="dxa"/>
            <w:vAlign w:val="center"/>
          </w:tcPr>
          <w:p w14:paraId="3B99E7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bash</w:t>
            </w:r>
          </w:p>
        </w:tc>
        <w:tc>
          <w:tcPr>
            <w:tcW w:w="1701" w:type="dxa"/>
            <w:vAlign w:val="center"/>
          </w:tcPr>
          <w:p w14:paraId="226BFF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P1 起，动态升风险</w:t>
            </w:r>
          </w:p>
        </w:tc>
        <w:tc>
          <w:tcPr>
            <w:tcW w:w="3005" w:type="dxa"/>
            <w:vAlign w:val="center"/>
          </w:tcPr>
          <w:p w14:paraId="07F463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嵌套工具和危险模式可抬升风险</w:t>
            </w:r>
          </w:p>
        </w:tc>
      </w:tr>
      <w:tr w14:paraId="58F1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048A4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HTTP/网络</w:t>
            </w:r>
          </w:p>
        </w:tc>
        <w:tc>
          <w:tcPr>
            <w:tcW w:w="2891" w:type="dxa"/>
            <w:vAlign w:val="center"/>
          </w:tcPr>
          <w:p w14:paraId="6799D1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curl/wget/httpx</w:t>
            </w:r>
          </w:p>
        </w:tc>
        <w:tc>
          <w:tcPr>
            <w:tcW w:w="1701" w:type="dxa"/>
            <w:vAlign w:val="center"/>
          </w:tcPr>
          <w:p w14:paraId="2C2E53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P1</w:t>
            </w:r>
          </w:p>
        </w:tc>
        <w:tc>
          <w:tcPr>
            <w:tcW w:w="3005" w:type="dxa"/>
            <w:vAlign w:val="center"/>
          </w:tcPr>
          <w:p w14:paraId="27E89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需要 network-target scope</w:t>
            </w:r>
          </w:p>
        </w:tc>
      </w:tr>
      <w:tr w14:paraId="6D61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108815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侦察</w:t>
            </w:r>
          </w:p>
        </w:tc>
        <w:tc>
          <w:tcPr>
            <w:tcW w:w="2891" w:type="dxa"/>
            <w:vAlign w:val="center"/>
          </w:tcPr>
          <w:p w14:paraId="7261A9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nmap/masscan</w:t>
            </w:r>
          </w:p>
        </w:tc>
        <w:tc>
          <w:tcPr>
            <w:tcW w:w="1701" w:type="dxa"/>
            <w:vAlign w:val="center"/>
          </w:tcPr>
          <w:p w14:paraId="763BC3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P2</w:t>
            </w:r>
          </w:p>
        </w:tc>
        <w:tc>
          <w:tcPr>
            <w:tcW w:w="3005" w:type="dxa"/>
            <w:vAlign w:val="center"/>
          </w:tcPr>
          <w:p w14:paraId="16BBA5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nmap 服务探测；masscan 要求 rate limit</w:t>
            </w:r>
          </w:p>
        </w:tc>
      </w:tr>
      <w:tr w14:paraId="1A9A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8A3B8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验证</w:t>
            </w:r>
          </w:p>
        </w:tc>
        <w:tc>
          <w:tcPr>
            <w:tcW w:w="2891" w:type="dxa"/>
            <w:vAlign w:val="center"/>
          </w:tcPr>
          <w:p w14:paraId="32FF3F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nuclei/ffuf/gobuster/nikto</w:t>
            </w:r>
          </w:p>
        </w:tc>
        <w:tc>
          <w:tcPr>
            <w:tcW w:w="1701" w:type="dxa"/>
            <w:vAlign w:val="center"/>
          </w:tcPr>
          <w:p w14:paraId="376314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P2</w:t>
            </w:r>
          </w:p>
        </w:tc>
        <w:tc>
          <w:tcPr>
            <w:tcW w:w="3005" w:type="dxa"/>
            <w:vAlign w:val="center"/>
          </w:tcPr>
          <w:p w14:paraId="4C243E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受控枚举/模板验证</w:t>
            </w:r>
          </w:p>
        </w:tc>
      </w:tr>
      <w:tr w14:paraId="5156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1EC62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侵入性验证</w:t>
            </w:r>
          </w:p>
        </w:tc>
        <w:tc>
          <w:tcPr>
            <w:tcW w:w="2891" w:type="dxa"/>
            <w:vAlign w:val="center"/>
          </w:tcPr>
          <w:p w14:paraId="68025A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sqlmap/hydra/msfconsole</w:t>
            </w:r>
          </w:p>
        </w:tc>
        <w:tc>
          <w:tcPr>
            <w:tcW w:w="1701" w:type="dxa"/>
            <w:vAlign w:val="center"/>
          </w:tcPr>
          <w:p w14:paraId="3CBB56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P3</w:t>
            </w:r>
          </w:p>
        </w:tc>
        <w:tc>
          <w:tcPr>
            <w:tcW w:w="3005" w:type="dxa"/>
            <w:vAlign w:val="center"/>
          </w:tcPr>
          <w:p w14:paraId="1CC329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必须显式高风险授权</w:t>
            </w:r>
          </w:p>
        </w:tc>
      </w:tr>
      <w:tr w14:paraId="6A24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1CD752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远程会话/传输</w:t>
            </w:r>
          </w:p>
        </w:tc>
        <w:tc>
          <w:tcPr>
            <w:tcW w:w="2891" w:type="dxa"/>
            <w:vAlign w:val="center"/>
          </w:tcPr>
          <w:p w14:paraId="12B81C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ssh/scp/nc</w:t>
            </w:r>
          </w:p>
        </w:tc>
        <w:tc>
          <w:tcPr>
            <w:tcW w:w="1701" w:type="dxa"/>
            <w:vAlign w:val="center"/>
          </w:tcPr>
          <w:p w14:paraId="1508BE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P2</w:t>
            </w:r>
          </w:p>
        </w:tc>
        <w:tc>
          <w:tcPr>
            <w:tcW w:w="3005" w:type="dxa"/>
            <w:vAlign w:val="center"/>
          </w:tcPr>
          <w:p w14:paraId="0D1CB2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范围内受控连接</w:t>
            </w:r>
          </w:p>
        </w:tc>
      </w:tr>
      <w:tr w14:paraId="3895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56B9C7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静态/逆向</w:t>
            </w:r>
          </w:p>
        </w:tc>
        <w:tc>
          <w:tcPr>
            <w:tcW w:w="2891" w:type="dxa"/>
            <w:vAlign w:val="center"/>
          </w:tcPr>
          <w:p w14:paraId="3B07D7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file/strings/readelf/binwalk/exiftool</w:t>
            </w:r>
          </w:p>
        </w:tc>
        <w:tc>
          <w:tcPr>
            <w:tcW w:w="1701" w:type="dxa"/>
            <w:vAlign w:val="center"/>
          </w:tcPr>
          <w:p w14:paraId="4EF930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P0</w:t>
            </w:r>
          </w:p>
        </w:tc>
        <w:tc>
          <w:tcPr>
            <w:tcW w:w="3005" w:type="dxa"/>
            <w:vAlign w:val="center"/>
          </w:tcPr>
          <w:p w14:paraId="155EE1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以只读、可复现为主</w:t>
            </w:r>
          </w:p>
        </w:tc>
      </w:tr>
      <w:tr w14:paraId="66F5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94213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反汇编/分析</w:t>
            </w:r>
          </w:p>
        </w:tc>
        <w:tc>
          <w:tcPr>
            <w:tcW w:w="2891" w:type="dxa"/>
            <w:vAlign w:val="center"/>
          </w:tcPr>
          <w:p w14:paraId="3AE44F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objdump/radare2</w:t>
            </w:r>
          </w:p>
        </w:tc>
        <w:tc>
          <w:tcPr>
            <w:tcW w:w="1701" w:type="dxa"/>
            <w:vAlign w:val="center"/>
          </w:tcPr>
          <w:p w14:paraId="1F57FB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P1</w:t>
            </w:r>
          </w:p>
        </w:tc>
        <w:tc>
          <w:tcPr>
            <w:tcW w:w="3005" w:type="dxa"/>
            <w:vAlign w:val="center"/>
          </w:tcPr>
          <w:p w14:paraId="1EFE9B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不执行目标样本</w:t>
            </w:r>
          </w:p>
        </w:tc>
      </w:tr>
    </w:tbl>
    <w:p w14:paraId="7C9C42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D23DF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上述表是 catalog 的“可识别能力面”，并不意味着每个工具在当前容器中都已安装，也不意味着全部工具都已经有 autonomous input builder。真实可用性由 adapter 注册、`/sec-doctor` 与比赛镜像中的可执行文件共同决定。</w:t>
      </w:r>
    </w:p>
    <w:p w14:paraId="578C689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8.3 Adapter 责任边界</w:t>
      </w:r>
    </w:p>
    <w:p w14:paraId="6AFBA64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从结构化输入提取目标、文件或模板等参数；</w:t>
      </w:r>
    </w:p>
    <w:p w14:paraId="4DAEEF3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执行 availability diagnostics，明确区分“工具未安装”和“工具执行失败”；</w:t>
      </w:r>
    </w:p>
    <w:p w14:paraId="62CD81E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校验 preconditions，例如文件必须在 cwd 内、必须是普通文件、wordlist 必须明确、scope 必须满足；</w:t>
      </w:r>
    </w:p>
    <w:p w14:paraId="42C0B14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构造确定性 argv，而不是让模型自由拼接参数；</w:t>
      </w:r>
    </w:p>
    <w:p w14:paraId="6C38381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调用受控 executor，并把输出归一化成 evidence；</w:t>
      </w:r>
    </w:p>
    <w:p w14:paraId="7E6FAA7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对本地工件尽可能附带 SHA-256 provenance。</w:t>
      </w:r>
    </w:p>
    <w:p w14:paraId="5533FB8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8.4 MCP 风险翻译</w:t>
      </w:r>
    </w:p>
    <w:p w14:paraId="71AE7E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`mcp-policy.ts` 不把 MCP 当成“天然可信”总线。对于 discovery/connect 操作分别按 P0/P1 处理；对于 delegated tool，根据工具名称中的 read/list/search 等只读提示、create/update/write 等修改提示、delete/exec/exploit 等高危提示推断 P1/P2/P3。参数递归最多 6 层、遍历预算 256 个节点，并扫描 URL、IPv4、domain 等目标，从而把 MCP 工具重新纳入 Scope/Policy 体系。</w:t>
      </w:r>
    </w:p>
    <w:p w14:paraId="2CBAED8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8.5 工具扩展流程</w:t>
      </w:r>
    </w:p>
    <w:p w14:paraId="093B56C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在 catalog 中定义 canonical name、aliases、category、baseRisk、scopeMode、capabilities、pre/postconditions 和推荐专家。</w:t>
      </w:r>
    </w:p>
    <w:p w14:paraId="68CBAA8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实现 adapter：availability、target/input normalization、preconditions、argv construction、execute、evidence normalization。</w:t>
      </w:r>
    </w:p>
    <w:p w14:paraId="5B4C188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注册到 registry，并为 compound shell/MCP 场景补风险解析。</w:t>
      </w:r>
    </w:p>
    <w:p w14:paraId="5483B374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如需进入 autonomous loop，为该工具实现确定性 action-input builder；没有 builder 时不得仅靠模型拼命令绕过。</w:t>
      </w:r>
    </w:p>
    <w:p w14:paraId="74A68F7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增加 unit/regression/controlled fixture 测试，再纳入 `/sec-doctor` 和 benchmark capability coverage。</w:t>
      </w:r>
    </w:p>
    <w:p w14:paraId="505C90BA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代码依据：packages/secagent/src/tools/catalog.ts；packages/secagent/src/tools/registry.ts；packages/secagent/src/tools/adapter.ts；packages/secagent/src/integrations/mcp-policy.ts</w:t>
      </w:r>
    </w:p>
    <w:p w14:paraId="1179C63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9. 多 Agent 专家协同与 CTF 能力叠加</w:t>
      </w:r>
    </w:p>
    <w:p w14:paraId="430F419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9.1 六类有界专家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834"/>
        <w:gridCol w:w="4260"/>
      </w:tblGrid>
      <w:tr w14:paraId="18C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BFF8C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专家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0CAC0B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主要职责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392C45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典型能力</w:t>
            </w:r>
          </w:p>
        </w:tc>
      </w:tr>
      <w:tr w14:paraId="46BF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C94A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sec-recon</w:t>
            </w:r>
          </w:p>
        </w:tc>
        <w:tc>
          <w:tcPr>
            <w:tcW w:w="3855" w:type="dxa"/>
            <w:vAlign w:val="center"/>
          </w:tcPr>
          <w:p w14:paraId="71FECA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资产与暴露面侦察</w:t>
            </w:r>
          </w:p>
        </w:tc>
        <w:tc>
          <w:tcPr>
            <w:tcW w:w="3855" w:type="dxa"/>
            <w:vAlign w:val="center"/>
          </w:tcPr>
          <w:p w14:paraId="5466AF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network discovery、HTTP probe、service fingerprint</w:t>
            </w:r>
          </w:p>
        </w:tc>
      </w:tr>
      <w:tr w14:paraId="3E7F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D38E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sec-web</w:t>
            </w:r>
          </w:p>
        </w:tc>
        <w:tc>
          <w:tcPr>
            <w:tcW w:w="3855" w:type="dxa"/>
            <w:vAlign w:val="center"/>
          </w:tcPr>
          <w:p w14:paraId="32D819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安全分析与受控验证</w:t>
            </w:r>
          </w:p>
        </w:tc>
        <w:tc>
          <w:tcPr>
            <w:tcW w:w="3855" w:type="dxa"/>
            <w:vAlign w:val="center"/>
          </w:tcPr>
          <w:p w14:paraId="788D4E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HTTP analysis、content discovery、template probe</w:t>
            </w:r>
          </w:p>
        </w:tc>
      </w:tr>
      <w:tr w14:paraId="236A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21DE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sec-analysis</w:t>
            </w:r>
          </w:p>
        </w:tc>
        <w:tc>
          <w:tcPr>
            <w:tcW w:w="3855" w:type="dxa"/>
            <w:vAlign w:val="center"/>
          </w:tcPr>
          <w:p w14:paraId="60F3BB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日志/证据/工件关联分析</w:t>
            </w:r>
          </w:p>
        </w:tc>
        <w:tc>
          <w:tcPr>
            <w:tcW w:w="3855" w:type="dxa"/>
            <w:vAlign w:val="center"/>
          </w:tcPr>
          <w:p w14:paraId="414EC2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filesystem search、metadata、evidence correlation</w:t>
            </w:r>
          </w:p>
        </w:tc>
      </w:tr>
      <w:tr w14:paraId="3E14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14E35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sec-response</w:t>
            </w:r>
          </w:p>
        </w:tc>
        <w:tc>
          <w:tcPr>
            <w:tcW w:w="3855" w:type="dxa"/>
            <w:vAlign w:val="center"/>
          </w:tcPr>
          <w:p w14:paraId="5E6CAA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响应处置与受控变更</w:t>
            </w:r>
          </w:p>
        </w:tc>
        <w:tc>
          <w:tcPr>
            <w:tcW w:w="3855" w:type="dxa"/>
            <w:vAlign w:val="center"/>
          </w:tcPr>
          <w:p w14:paraId="3040CF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authorized write/edit、remote response</w:t>
            </w:r>
          </w:p>
        </w:tc>
      </w:tr>
      <w:tr w14:paraId="4F60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3071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sec-vuln</w:t>
            </w:r>
          </w:p>
        </w:tc>
        <w:tc>
          <w:tcPr>
            <w:tcW w:w="3855" w:type="dxa"/>
            <w:vAlign w:val="center"/>
          </w:tcPr>
          <w:p w14:paraId="759176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漏洞假设与验证设计</w:t>
            </w:r>
          </w:p>
        </w:tc>
        <w:tc>
          <w:tcPr>
            <w:tcW w:w="3855" w:type="dxa"/>
            <w:vAlign w:val="center"/>
          </w:tcPr>
          <w:p w14:paraId="17ABD1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mitigation triage、template/intrusive verification under policy</w:t>
            </w:r>
          </w:p>
        </w:tc>
      </w:tr>
      <w:tr w14:paraId="1958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6AD9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sec-reverse</w:t>
            </w:r>
          </w:p>
        </w:tc>
        <w:tc>
          <w:tcPr>
            <w:tcW w:w="3855" w:type="dxa"/>
            <w:vAlign w:val="center"/>
          </w:tcPr>
          <w:p w14:paraId="319AC9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静态分析与逆向</w:t>
            </w:r>
          </w:p>
        </w:tc>
        <w:tc>
          <w:tcPr>
            <w:tcW w:w="3855" w:type="dxa"/>
            <w:vAlign w:val="center"/>
          </w:tcPr>
          <w:p w14:paraId="5B185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file/strings/readelf/objdump/radare2</w:t>
            </w:r>
          </w:p>
        </w:tc>
      </w:tr>
    </w:tbl>
    <w:p w14:paraId="781531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400CD8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专家不是六个彼此独立、可自由扩大权限的 Agent。控制平面通过 `pi-subagents` 创建 bounded child sessions；委派记录包括 role、objective、parentDecisionId、status、evidenceIds 等，子 Agent 不允许扩大主任务 scope、authorization 或 budget，其产出必须回收到统一 SecurityState。</w:t>
      </w:r>
    </w:p>
    <w:p w14:paraId="3CEF2EE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9.2 CTF 不是第七个独立顶层 Agent</w:t>
      </w:r>
    </w:p>
    <w:p w14:paraId="376AA5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当前架构把 Web、Pwn、Reverse、Crypto、Forensics、Misc 建模为 capability overlays。CTF profile 记录题型、objective、recommendedCapabilities、flagPatterns 和 expectedEvidence；控制平面再将具体工作路由到六类现有专家。这样避免为了比赛场景复制一套独立 Agent 生命周期。</w:t>
      </w:r>
    </w:p>
    <w:p w14:paraId="2264F2B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9.3 委派上下文最小化原则</w:t>
      </w:r>
    </w:p>
    <w:p w14:paraId="117A427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只传递完成子目标所需的最小任务上下文、scope、相关 evidence 和 budget；</w:t>
      </w:r>
    </w:p>
    <w:p w14:paraId="6B5BDFE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父 Agent 保留最终计划与报告一致性责任；</w:t>
      </w:r>
    </w:p>
    <w:p w14:paraId="31D0088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子 Agent 的工具行为仍应经过宿主 sandbox/MCP/审计边界；</w:t>
      </w:r>
    </w:p>
    <w:p w14:paraId="18E73A8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子 Agent 返回的结论不能直接成为 verified finding，仍要进入主证据图/验证门。</w:t>
      </w:r>
    </w:p>
    <w:p w14:paraId="0BA4BB7A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代码依据：packages/secagent/agents/；packages/secagent/src/agents/control-plane.ts；packages/secagent/src/integrations/subagent-delegation.ts；packages/secagent/src/ctf/capabilities.ts</w:t>
      </w:r>
    </w:p>
    <w:p w14:paraId="684EE59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10. Evidence Graph、Verifier、Finding Gate 与可解释性</w:t>
      </w:r>
    </w:p>
    <w:p w14:paraId="5E34D9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6035040" cy="333375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D7D6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10-1  从工具结果到 verified finding 与外部终止门</w:t>
      </w:r>
    </w:p>
    <w:p w14:paraId="549DEDC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10.1 证据对象与关系</w:t>
      </w:r>
    </w:p>
    <w:p w14:paraId="5133B4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SecurityEvidence 包含 kind（observation/artifact/indicator/finding）、summary、source、sha256、confidence、decisionIds、targetRefs、agentRole 和 createdAt。Evidence Graph 使用 supports、contradicts、derived-from、duplicates、verifies 五类显式边把证据与证据/假设连接起来。</w:t>
      </w:r>
    </w:p>
    <w:p w14:paraId="241FCD7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10.2 独立来源判定</w:t>
      </w:r>
    </w:p>
    <w:p w14:paraId="5DE369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`evidenceSourceKey()` 优先使用 `sha256:&lt;hash&gt;` 作为直接工件来源，否则使用规范化 source，再退化为 evidence id。Verifier 针对同一 source 只保留最高支持分，避免同一扫描器重复输出被错误计算为多份“独立证据”。</w:t>
      </w:r>
    </w:p>
    <w:p w14:paraId="3F4F66B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10.3 默认验证规则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082"/>
        <w:gridCol w:w="2721"/>
      </w:tblGrid>
      <w:tr w14:paraId="1135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6E0B96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规则</w:t>
            </w:r>
          </w:p>
        </w:tc>
        <w:tc>
          <w:tcPr>
            <w:tcW w:w="4082" w:type="dxa"/>
            <w:shd w:val="clear" w:color="auto" w:fill="DCE6F1"/>
            <w:vAlign w:val="center"/>
          </w:tcPr>
          <w:p w14:paraId="4B328E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默认阈值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1AF25B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结果</w:t>
            </w:r>
          </w:p>
        </w:tc>
      </w:tr>
      <w:tr w14:paraId="2D6D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FC74C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多来源支持</w:t>
            </w:r>
          </w:p>
        </w:tc>
        <w:tc>
          <w:tcPr>
            <w:tcW w:w="4082" w:type="dxa"/>
            <w:vAlign w:val="center"/>
          </w:tcPr>
          <w:p w14:paraId="61D958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独立来源 ≥ 2，平均支持置信度 ≥ 0.75</w:t>
            </w:r>
          </w:p>
        </w:tc>
        <w:tc>
          <w:tcPr>
            <w:tcW w:w="2721" w:type="dxa"/>
            <w:vAlign w:val="center"/>
          </w:tcPr>
          <w:p w14:paraId="782405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verified</w:t>
            </w:r>
          </w:p>
        </w:tc>
      </w:tr>
      <w:tr w14:paraId="281B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E1CB7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直接工件证据</w:t>
            </w:r>
          </w:p>
        </w:tc>
        <w:tc>
          <w:tcPr>
            <w:tcW w:w="4082" w:type="dxa"/>
            <w:vAlign w:val="center"/>
          </w:tcPr>
          <w:p w14:paraId="3C2717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kind=artifact、存在 SHA-256、confidence ≥ 0.95</w:t>
            </w:r>
          </w:p>
        </w:tc>
        <w:tc>
          <w:tcPr>
            <w:tcW w:w="2721" w:type="dxa"/>
            <w:vAlign w:val="center"/>
          </w:tcPr>
          <w:p w14:paraId="707AD7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verified</w:t>
            </w:r>
          </w:p>
        </w:tc>
      </w:tr>
      <w:tr w14:paraId="5E7A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351A4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矛盾证据</w:t>
            </w:r>
          </w:p>
        </w:tc>
        <w:tc>
          <w:tcPr>
            <w:tcW w:w="4082" w:type="dxa"/>
            <w:vAlign w:val="center"/>
          </w:tcPr>
          <w:p w14:paraId="6D8577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最高矛盾分 ≥ max(0.75, 当前聚合支持)</w:t>
            </w:r>
          </w:p>
        </w:tc>
        <w:tc>
          <w:tcPr>
            <w:tcW w:w="2721" w:type="dxa"/>
            <w:vAlign w:val="center"/>
          </w:tcPr>
          <w:p w14:paraId="262661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contradicted</w:t>
            </w:r>
          </w:p>
        </w:tc>
      </w:tr>
      <w:tr w14:paraId="613B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E983A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不足</w:t>
            </w:r>
          </w:p>
        </w:tc>
        <w:tc>
          <w:tcPr>
            <w:tcW w:w="4082" w:type="dxa"/>
            <w:vAlign w:val="center"/>
          </w:tcPr>
          <w:p w14:paraId="16941C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未满足以上门槛</w:t>
            </w:r>
          </w:p>
        </w:tc>
        <w:tc>
          <w:tcPr>
            <w:tcW w:w="2721" w:type="dxa"/>
            <w:vAlign w:val="center"/>
          </w:tcPr>
          <w:p w14:paraId="29DFF5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insufficient</w:t>
            </w:r>
          </w:p>
        </w:tc>
      </w:tr>
    </w:tbl>
    <w:p w14:paraId="729A17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2638E3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这套规则不是说“两种扫描器就一定证明漏洞存在”。`evidence-promoter` 只把成功执行结果提升为窄范围 operational hypothesis，例如“HTTP 服务可重复观察”“工件具有可复现静态属性”；Nuclei 等信号仍被视为 candidate-vulnerability signal，最终漏洞 Finding 必须经过 normal verification gate。</w:t>
      </w:r>
    </w:p>
    <w:p w14:paraId="2584023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10.4 Finding Gate</w:t>
      </w:r>
    </w:p>
    <w:p w14:paraId="3F7AD8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`verifiedFindingGate()` 只接受状态为 verified 的 verificationId。Finding 应记录 evidenceIds、verificationId、verified、severity 与 remediation。这样报告层无法仅凭模型一句“存在高危漏洞”直接生成 verified finding。</w:t>
      </w:r>
    </w:p>
    <w:p w14:paraId="0AD0B53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10.5 外部终止门</w:t>
      </w:r>
    </w:p>
    <w:p w14:paraId="3FE0F0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任务结束也不是由模型自然语言决定。当前 `assessTermination()` 在 CTF 中要求存在 verified 且摘要与 flag/capture/objective 相关的 finding；普通任务在设置 successCriteria 的情况下要求至少一个 verified finding，且不存在 insufficient verification。否则返回“verification gaps remain”或“no verified completion evidence”。</w:t>
      </w:r>
    </w:p>
    <w:p w14:paraId="6F4E973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10.6 图完整性检查</w:t>
      </w:r>
    </w:p>
    <w:p w14:paraId="52856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`graphIntegrityErrors()` 检查证据边是否引用不存在的 evidence/hypothesis，以及 finding 是否引用不存在的 evidence。该检查为报告重建和状态回放提供基础一致性保证。</w:t>
      </w:r>
    </w:p>
    <w:p w14:paraId="64BD8DCA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代码依据：packages/secagent/src/core/evidence-graph.ts；packages/secagent/src/core/verifier.ts；packages/secagent/src/core/evidence-promoter.ts；packages/secagent/src/core/auto-verifier.ts；packages/secagent/src/core/observer.ts</w:t>
      </w:r>
    </w:p>
    <w:p w14:paraId="77CDCFC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11. 多场景自主决策设计</w:t>
      </w:r>
    </w:p>
    <w:p w14:paraId="42A2E74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11.1 产品级 SecurityScenario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31"/>
        <w:gridCol w:w="2891"/>
        <w:gridCol w:w="1814"/>
      </w:tblGrid>
      <w:tr w14:paraId="5981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4966A5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场景</w:t>
            </w:r>
          </w:p>
        </w:tc>
        <w:tc>
          <w:tcPr>
            <w:tcW w:w="3231" w:type="dxa"/>
            <w:shd w:val="clear" w:color="auto" w:fill="DCE6F1"/>
            <w:vAlign w:val="center"/>
          </w:tcPr>
          <w:p w14:paraId="0CE39E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入口目标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2C766A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建议阶段重点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6175C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适合专家</w:t>
            </w:r>
          </w:p>
        </w:tc>
      </w:tr>
      <w:tr w14:paraId="1AD8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D4B24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penetration-test</w:t>
            </w:r>
          </w:p>
        </w:tc>
        <w:tc>
          <w:tcPr>
            <w:tcW w:w="3231" w:type="dxa"/>
            <w:vAlign w:val="center"/>
          </w:tcPr>
          <w:p w14:paraId="110EA3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在明确授权范围内识别暴露面并验证安全缺陷</w:t>
            </w:r>
          </w:p>
        </w:tc>
        <w:tc>
          <w:tcPr>
            <w:tcW w:w="2891" w:type="dxa"/>
            <w:vAlign w:val="center"/>
          </w:tcPr>
          <w:p w14:paraId="47D085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recon → analysis → verification → report</w:t>
            </w:r>
          </w:p>
        </w:tc>
        <w:tc>
          <w:tcPr>
            <w:tcW w:w="1814" w:type="dxa"/>
            <w:vAlign w:val="center"/>
          </w:tcPr>
          <w:p w14:paraId="151343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sec-recon/sec-web/sec-vuln</w:t>
            </w:r>
          </w:p>
        </w:tc>
      </w:tr>
      <w:tr w14:paraId="6196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26CA0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incident-response</w:t>
            </w:r>
          </w:p>
        </w:tc>
        <w:tc>
          <w:tcPr>
            <w:tcW w:w="3231" w:type="dxa"/>
            <w:vAlign w:val="center"/>
          </w:tcPr>
          <w:p w14:paraId="0D189C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分析日志/工件/主机线索并提出受控响应</w:t>
            </w:r>
          </w:p>
        </w:tc>
        <w:tc>
          <w:tcPr>
            <w:tcW w:w="2891" w:type="dxa"/>
            <w:vAlign w:val="center"/>
          </w:tcPr>
          <w:p w14:paraId="49D634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 → verification → response → report</w:t>
            </w:r>
          </w:p>
        </w:tc>
        <w:tc>
          <w:tcPr>
            <w:tcW w:w="1814" w:type="dxa"/>
            <w:vAlign w:val="center"/>
          </w:tcPr>
          <w:p w14:paraId="4CEB8E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sec-analysis/sec-response</w:t>
            </w:r>
          </w:p>
        </w:tc>
      </w:tr>
      <w:tr w14:paraId="0B1E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1F985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vulnerability-research</w:t>
            </w:r>
          </w:p>
        </w:tc>
        <w:tc>
          <w:tcPr>
            <w:tcW w:w="3231" w:type="dxa"/>
            <w:vAlign w:val="center"/>
          </w:tcPr>
          <w:p w14:paraId="593381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围绕候选缺陷形成假设并进行最小充分验证</w:t>
            </w:r>
          </w:p>
        </w:tc>
        <w:tc>
          <w:tcPr>
            <w:tcW w:w="2891" w:type="dxa"/>
            <w:vAlign w:val="center"/>
          </w:tcPr>
          <w:p w14:paraId="2CCB89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 → verification</w:t>
            </w:r>
          </w:p>
        </w:tc>
        <w:tc>
          <w:tcPr>
            <w:tcW w:w="1814" w:type="dxa"/>
            <w:vAlign w:val="center"/>
          </w:tcPr>
          <w:p w14:paraId="3BE07A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sec-vuln/sec-reverse/sec-web</w:t>
            </w:r>
          </w:p>
        </w:tc>
      </w:tr>
      <w:tr w14:paraId="5BDA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B1713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web-security</w:t>
            </w:r>
          </w:p>
        </w:tc>
        <w:tc>
          <w:tcPr>
            <w:tcW w:w="3231" w:type="dxa"/>
            <w:vAlign w:val="center"/>
          </w:tcPr>
          <w:p w14:paraId="1CB72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服务识别、内容发现、配置/模板验证</w:t>
            </w:r>
          </w:p>
        </w:tc>
        <w:tc>
          <w:tcPr>
            <w:tcW w:w="2891" w:type="dxa"/>
            <w:vAlign w:val="center"/>
          </w:tcPr>
          <w:p w14:paraId="74F5C2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recon → analysis → verification</w:t>
            </w:r>
          </w:p>
        </w:tc>
        <w:tc>
          <w:tcPr>
            <w:tcW w:w="1814" w:type="dxa"/>
            <w:vAlign w:val="center"/>
          </w:tcPr>
          <w:p w14:paraId="4E44EB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sec-web/sec-recon</w:t>
            </w:r>
          </w:p>
        </w:tc>
      </w:tr>
      <w:tr w14:paraId="5138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6EE05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reverse-engineering</w:t>
            </w:r>
          </w:p>
        </w:tc>
        <w:tc>
          <w:tcPr>
            <w:tcW w:w="3231" w:type="dxa"/>
            <w:vAlign w:val="center"/>
          </w:tcPr>
          <w:p w14:paraId="2D47F5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文件识别、字符串、ELF/静态结构、反汇编</w:t>
            </w:r>
          </w:p>
        </w:tc>
        <w:tc>
          <w:tcPr>
            <w:tcW w:w="2891" w:type="dxa"/>
            <w:vAlign w:val="center"/>
          </w:tcPr>
          <w:p w14:paraId="1741FE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analysis → verification</w:t>
            </w:r>
          </w:p>
        </w:tc>
        <w:tc>
          <w:tcPr>
            <w:tcW w:w="1814" w:type="dxa"/>
            <w:vAlign w:val="center"/>
          </w:tcPr>
          <w:p w14:paraId="159186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sec-reverse/sec-vuln</w:t>
            </w:r>
          </w:p>
        </w:tc>
      </w:tr>
      <w:tr w14:paraId="3E81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6A63A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ctf</w:t>
            </w:r>
          </w:p>
        </w:tc>
        <w:tc>
          <w:tcPr>
            <w:tcW w:w="3231" w:type="dxa"/>
            <w:vAlign w:val="center"/>
          </w:tcPr>
          <w:p w14:paraId="3554B1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根据 capability profile 组合受控能力</w:t>
            </w:r>
          </w:p>
        </w:tc>
        <w:tc>
          <w:tcPr>
            <w:tcW w:w="2891" w:type="dxa"/>
            <w:vAlign w:val="center"/>
          </w:tcPr>
          <w:p w14:paraId="72682E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按题型 overlay</w:t>
            </w:r>
          </w:p>
        </w:tc>
        <w:tc>
          <w:tcPr>
            <w:tcW w:w="1814" w:type="dxa"/>
            <w:vAlign w:val="center"/>
          </w:tcPr>
          <w:p w14:paraId="328BCF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六专家按能力路由</w:t>
            </w:r>
          </w:p>
        </w:tc>
      </w:tr>
    </w:tbl>
    <w:p w14:paraId="46EB1E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11.2 当前五类受控 Benchmark 与产品场景的关系</w:t>
      </w:r>
    </w:p>
    <w:p w14:paraId="420559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代码中的 canonical controlled benchmark 是 Web、Pwn、Reverse、Forensics、Killchain。这五类是“工程回归族”，并不与 SecurityScenario 一一对应：Pwn/Forensics 更像 CTF/研究能力 overlay，Killchain 对应 penetration-test 的多阶段组合。方案文档必须区分“产品场景枚举”和“测试基准族”，避免评委认为系统只有五个硬编码题型。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252"/>
        <w:gridCol w:w="3402"/>
      </w:tblGrid>
      <w:tr w14:paraId="1604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28B019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Benchmark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3AEA9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主要能力路径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6AF73B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关键安全不变量</w:t>
            </w:r>
          </w:p>
        </w:tc>
      </w:tr>
      <w:tr w14:paraId="54CB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B327F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</w:t>
            </w:r>
          </w:p>
        </w:tc>
        <w:tc>
          <w:tcPr>
            <w:tcW w:w="4252" w:type="dxa"/>
            <w:vAlign w:val="center"/>
          </w:tcPr>
          <w:p w14:paraId="23EA79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HTTP fingerprint → request analysis → bounded discovery/verification</w:t>
            </w:r>
          </w:p>
        </w:tc>
        <w:tc>
          <w:tcPr>
            <w:tcW w:w="3402" w:type="dxa"/>
            <w:vAlign w:val="center"/>
          </w:tcPr>
          <w:p w14:paraId="3EC8FB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scope、bounded adapters、evidence、成功动作不重复</w:t>
            </w:r>
          </w:p>
        </w:tc>
      </w:tr>
      <w:tr w14:paraId="0632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43065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Pwn</w:t>
            </w:r>
          </w:p>
        </w:tc>
        <w:tc>
          <w:tcPr>
            <w:tcW w:w="4252" w:type="dxa"/>
            <w:vAlign w:val="center"/>
          </w:tcPr>
          <w:p w14:paraId="55AEDC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artifact triage → ELF mitigations → static analysis</w:t>
            </w:r>
          </w:p>
        </w:tc>
        <w:tc>
          <w:tcPr>
            <w:tcW w:w="3402" w:type="dxa"/>
            <w:vAlign w:val="center"/>
          </w:tcPr>
          <w:p w14:paraId="24CFEF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SHA-256 provenance、不执行二进制、mitigation triage</w:t>
            </w:r>
          </w:p>
        </w:tc>
      </w:tr>
      <w:tr w14:paraId="0505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930FF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Reverse</w:t>
            </w:r>
          </w:p>
        </w:tc>
        <w:tc>
          <w:tcPr>
            <w:tcW w:w="4252" w:type="dxa"/>
            <w:vAlign w:val="center"/>
          </w:tcPr>
          <w:p w14:paraId="47CDB8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identify → strings → ELF/static/disassembly</w:t>
            </w:r>
          </w:p>
        </w:tc>
        <w:tc>
          <w:tcPr>
            <w:tcW w:w="3402" w:type="dxa"/>
            <w:vAlign w:val="center"/>
          </w:tcPr>
          <w:p w14:paraId="7F726B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只读路径、provenance、策略递进</w:t>
            </w:r>
          </w:p>
        </w:tc>
      </w:tr>
      <w:tr w14:paraId="1923F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D1114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Forensics</w:t>
            </w:r>
          </w:p>
        </w:tc>
        <w:tc>
          <w:tcPr>
            <w:tcW w:w="4252" w:type="dxa"/>
            <w:vAlign w:val="center"/>
          </w:tcPr>
          <w:p w14:paraId="38261C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metadata → embedded signature triage</w:t>
            </w:r>
          </w:p>
        </w:tc>
        <w:tc>
          <w:tcPr>
            <w:tcW w:w="3402" w:type="dxa"/>
            <w:vAlign w:val="center"/>
          </w:tcPr>
          <w:p w14:paraId="632B17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metadata、签名扫描、provenance、禁止自动提取</w:t>
            </w:r>
          </w:p>
        </w:tc>
      </w:tr>
      <w:tr w14:paraId="7033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1044E2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Killchain</w:t>
            </w:r>
          </w:p>
        </w:tc>
        <w:tc>
          <w:tcPr>
            <w:tcW w:w="4252" w:type="dxa"/>
            <w:vAlign w:val="center"/>
          </w:tcPr>
          <w:p w14:paraId="1A94F4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network discovery → Web enumeration → verification strategy</w:t>
            </w:r>
          </w:p>
        </w:tc>
        <w:tc>
          <w:tcPr>
            <w:tcW w:w="3402" w:type="dxa"/>
            <w:vAlign w:val="center"/>
          </w:tcPr>
          <w:p w14:paraId="3F542C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失败驱动 replan、能力多样性、scope、budget</w:t>
            </w:r>
          </w:p>
        </w:tc>
      </w:tr>
    </w:tbl>
    <w:p w14:paraId="4D6ABD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7B86968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11.3 示例：Web 安全闭环</w:t>
      </w:r>
    </w:p>
    <w:p w14:paraId="04ECB3FD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TaskSpec + explicit scope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HTTP fingerprint candidate (curl/httpx)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evidence: service observable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content-discovery candidate (ffuf, only with explicit wordlist)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vulnerability signal (e.g. nuclei)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hypothesis + corroborating evidence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Verifier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verified finding / remediation / report</w:t>
      </w:r>
    </w:p>
    <w:p w14:paraId="4A61DE3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11.4 示例：失败驱动 Killchain 重规划</w:t>
      </w:r>
    </w:p>
    <w:p w14:paraId="69184C19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Nmap discovery succeeds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first Web capability fails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decision_completed=failed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repeated capability failure / Observer signal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Replanner records trigger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Planner penalizes same capability family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materially different capability selected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new evidence -&gt; verification -&gt; report</w:t>
      </w:r>
    </w:p>
    <w:p w14:paraId="64FDF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演示时应主动注入一次工具失败或不满足前置条件的情形，比只展示“一路成功”更能证明赛题要求的动态策略调整和鲁棒性。</w:t>
      </w:r>
    </w:p>
    <w:p w14:paraId="2AFCBE46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代码依据：packages/secagent/src/scenarios/controlled.ts；packages/secagent/src/scenarios/harness.ts；packages/secagent/src/scenarios/benchmark.ts；packages/secagent/docs/competition.md</w:t>
      </w:r>
    </w:p>
    <w:p w14:paraId="5E90B0B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12. 诊断、自检与运行鲁棒性</w:t>
      </w:r>
    </w:p>
    <w:p w14:paraId="2AB8201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12.1 /sec-doctor 设计</w:t>
      </w:r>
    </w:p>
    <w:p w14:paraId="215DF5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`/sec-doctor` 与 Profile `run_diagnostics` 共享诊断服务，面向现场部署检查 isolation、Sec-only runtime packages、specialist definitions、外部工具版本、workspace/temp/report 可写性等。模型连通性明确标记为“未主动探测”，避免诊断过程产生计费 Provider 请求。</w:t>
      </w:r>
    </w:p>
    <w:p w14:paraId="7D8E441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12.2 故障模型与降级策略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953"/>
        <w:gridCol w:w="1191"/>
      </w:tblGrid>
      <w:tr w14:paraId="7AAD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CE6F1"/>
            <w:vAlign w:val="center"/>
          </w:tcPr>
          <w:p w14:paraId="77A16E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故障</w:t>
            </w:r>
          </w:p>
        </w:tc>
        <w:tc>
          <w:tcPr>
            <w:tcW w:w="5953" w:type="dxa"/>
            <w:shd w:val="clear" w:color="auto" w:fill="DCE6F1"/>
            <w:vAlign w:val="center"/>
          </w:tcPr>
          <w:p w14:paraId="3DBEBC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系统行为</w:t>
            </w:r>
          </w:p>
        </w:tc>
        <w:tc>
          <w:tcPr>
            <w:tcW w:w="1191" w:type="dxa"/>
            <w:shd w:val="clear" w:color="auto" w:fill="DCE6F1"/>
            <w:vAlign w:val="center"/>
          </w:tcPr>
          <w:p w14:paraId="5177D3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是否伪造结果</w:t>
            </w:r>
          </w:p>
        </w:tc>
      </w:tr>
      <w:tr w14:paraId="3932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9C915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模型/provider 不可用</w:t>
            </w:r>
          </w:p>
        </w:tc>
        <w:tc>
          <w:tcPr>
            <w:tcW w:w="5953" w:type="dxa"/>
            <w:vAlign w:val="center"/>
          </w:tcPr>
          <w:p w14:paraId="23B36F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保留 Session 状态；提示检查 provider/API gateway；不继续生成假结果</w:t>
            </w:r>
          </w:p>
        </w:tc>
        <w:tc>
          <w:tcPr>
            <w:tcW w:w="1191" w:type="dxa"/>
            <w:vAlign w:val="center"/>
          </w:tcPr>
          <w:p w14:paraId="23986D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5127B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C8F7A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安全工具缺失/版本不符</w:t>
            </w:r>
          </w:p>
        </w:tc>
        <w:tc>
          <w:tcPr>
            <w:tcW w:w="5953" w:type="dxa"/>
            <w:vAlign w:val="center"/>
          </w:tcPr>
          <w:p w14:paraId="54269B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availability diagnostics 返回 warn/fail；候选不可执行或切换已登记能力</w:t>
            </w:r>
          </w:p>
        </w:tc>
        <w:tc>
          <w:tcPr>
            <w:tcW w:w="1191" w:type="dxa"/>
            <w:vAlign w:val="center"/>
          </w:tcPr>
          <w:p w14:paraId="52A61D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31CC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6E755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工具超时/失败</w:t>
            </w:r>
          </w:p>
        </w:tc>
        <w:tc>
          <w:tcPr>
            <w:tcW w:w="5953" w:type="dxa"/>
            <w:vAlign w:val="center"/>
          </w:tcPr>
          <w:p w14:paraId="1D054E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记录 audit + decision failed；Observer/Replanner 决定是否换能力</w:t>
            </w:r>
          </w:p>
        </w:tc>
        <w:tc>
          <w:tcPr>
            <w:tcW w:w="1191" w:type="dxa"/>
            <w:vAlign w:val="center"/>
          </w:tcPr>
          <w:p w14:paraId="7C6CB1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6993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0D667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MCP 断开</w:t>
            </w:r>
          </w:p>
        </w:tc>
        <w:tc>
          <w:tcPr>
            <w:tcW w:w="5953" w:type="dxa"/>
            <w:vAlign w:val="center"/>
          </w:tcPr>
          <w:p w14:paraId="1702B4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委派/MCP 调用失败被审计，触发重规划</w:t>
            </w:r>
          </w:p>
        </w:tc>
        <w:tc>
          <w:tcPr>
            <w:tcW w:w="1191" w:type="dxa"/>
            <w:vAlign w:val="center"/>
          </w:tcPr>
          <w:p w14:paraId="198430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51B4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738E1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预算耗尽/deadline</w:t>
            </w:r>
          </w:p>
        </w:tc>
        <w:tc>
          <w:tcPr>
            <w:tcW w:w="5953" w:type="dxa"/>
            <w:vAlign w:val="center"/>
          </w:tcPr>
          <w:p w14:paraId="0431C7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Gateway/loop block，返回明确 reason</w:t>
            </w:r>
          </w:p>
        </w:tc>
        <w:tc>
          <w:tcPr>
            <w:tcW w:w="1191" w:type="dxa"/>
            <w:vAlign w:val="center"/>
          </w:tcPr>
          <w:p w14:paraId="4EE995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518D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D446C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SSE 断线</w:t>
            </w:r>
          </w:p>
        </w:tc>
        <w:tc>
          <w:tcPr>
            <w:tcW w:w="5953" w:type="dxa"/>
            <w:vAlign w:val="center"/>
          </w:tcPr>
          <w:p w14:paraId="435DAB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客户端重连并重新读取持久化 snapshot；生产运行需外部 supervisor</w:t>
            </w:r>
          </w:p>
        </w:tc>
        <w:tc>
          <w:tcPr>
            <w:tcW w:w="1191" w:type="dxa"/>
            <w:vAlign w:val="center"/>
          </w:tcPr>
          <w:p w14:paraId="6718CB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5A77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9E0F5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进程重启</w:t>
            </w:r>
          </w:p>
        </w:tc>
        <w:tc>
          <w:tcPr>
            <w:tcW w:w="5953" w:type="dxa"/>
            <w:vAlign w:val="center"/>
          </w:tcPr>
          <w:p w14:paraId="768B3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已完成 Session entries/audit 可恢复；恢复后需核对 snapshot 再继续</w:t>
            </w:r>
          </w:p>
        </w:tc>
        <w:tc>
          <w:tcPr>
            <w:tcW w:w="1191" w:type="dxa"/>
            <w:vAlign w:val="center"/>
          </w:tcPr>
          <w:p w14:paraId="31EBDB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  <w:tr w14:paraId="4A7A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FD659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验证矛盾</w:t>
            </w:r>
          </w:p>
        </w:tc>
        <w:tc>
          <w:tcPr>
            <w:tcW w:w="5953" w:type="dxa"/>
            <w:vAlign w:val="center"/>
          </w:tcPr>
          <w:p w14:paraId="39A208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verification=contradicted，进入重规划而不是静默覆盖</w:t>
            </w:r>
          </w:p>
        </w:tc>
        <w:tc>
          <w:tcPr>
            <w:tcW w:w="1191" w:type="dxa"/>
            <w:vAlign w:val="center"/>
          </w:tcPr>
          <w:p w14:paraId="024C9B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否</w:t>
            </w:r>
          </w:p>
        </w:tc>
      </w:tr>
    </w:tbl>
    <w:p w14:paraId="017F7E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362AA1C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12.3 生产运行与开发模式区分</w:t>
      </w:r>
    </w:p>
    <w:p w14:paraId="63041A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Next.js development server 仅用于 UI 开发，热重载/编译生命周期不适合作为长时间 autonomous run 的进程监督器。稳定演示应使用 production build + production server，并视需要配置外部 process supervisor。</w:t>
      </w:r>
    </w:p>
    <w:p w14:paraId="4211288B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代码依据：packages/secagent/src/diagnostics.ts；packages/secagent/docs/competition.md；packages/secagent/docs/autonomous-loop.md</w:t>
      </w:r>
    </w:p>
    <w:p w14:paraId="73D60F9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13. 部署拓扑与依赖隔离</w:t>
      </w:r>
    </w:p>
    <w:p w14:paraId="73E3E7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jc w:val="center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drawing>
          <wp:inline distT="0" distB="0" distL="114300" distR="114300">
            <wp:extent cx="6035040" cy="333375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C5BC">
      <w:pPr>
        <w:pStyle w:val="16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图 13-1  推荐竞赛部署拓扑</w:t>
      </w:r>
    </w:p>
    <w:p w14:paraId="0121276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13.1 基础运行环境</w:t>
      </w:r>
    </w:p>
    <w:p w14:paraId="54935B4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Node.js 22.19.0 或更新版本；</w:t>
      </w:r>
    </w:p>
    <w:p w14:paraId="7123859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仓库与 node_modules 在 Linux ext4 文件系统，尤其 WSL 环境避免长期放在 /mnt/c、/mnt/d、/mnt/e；</w:t>
      </w:r>
    </w:p>
    <w:p w14:paraId="4D35CD4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Web 稳定演示使用 production build；</w:t>
      </w:r>
    </w:p>
    <w:p w14:paraId="3392138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模型 Provider/API URL、model ID、API key 与主办方 AI 安全网关信息由环境/设置注入，不硬编码。</w:t>
      </w:r>
    </w:p>
    <w:p w14:paraId="66B21A7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13.2 Sec-only Runtime Prefix</w:t>
      </w:r>
    </w:p>
    <w:p w14:paraId="4DA349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四个通用 Pi 运行包固定版本安装在独立 npm prefix，而不是写入 monorepo root lockfile：</w:t>
      </w:r>
    </w:p>
    <w:p w14:paraId="078B4ED0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pi-sandbox@0.6.3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pi-mcp-adapter@2.23.0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pi-subagents@0.50.0</w:t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default" w:ascii="Consolas" w:hAnsi="Consolas" w:eastAsia="仿宋_GB2312" w:cs="Consolas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pi-trace-extension@0.1.14</w:t>
      </w:r>
    </w:p>
    <w:p w14:paraId="49F624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部署命令使用 `--ignore-scripts` 和 `--save-exact`，比赛容器使用 `/opt/secagent-runtime`。运行时不会自动安装；缺失/版本不匹配由 diagnostics 体现。</w:t>
      </w:r>
    </w:p>
    <w:p w14:paraId="217289D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13.3 四层安全边界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2C01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384AAA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层</w:t>
            </w:r>
          </w:p>
        </w:tc>
        <w:tc>
          <w:tcPr>
            <w:tcW w:w="7087" w:type="dxa"/>
            <w:shd w:val="clear" w:color="auto" w:fill="DCE6F1"/>
            <w:vAlign w:val="center"/>
          </w:tcPr>
          <w:p w14:paraId="38268E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责任</w:t>
            </w:r>
          </w:p>
        </w:tc>
      </w:tr>
      <w:tr w14:paraId="0FAC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FFCA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主办方/网络层</w:t>
            </w:r>
          </w:p>
        </w:tc>
        <w:tc>
          <w:tcPr>
            <w:tcW w:w="7087" w:type="dxa"/>
            <w:vAlign w:val="center"/>
          </w:tcPr>
          <w:p w14:paraId="0973B4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比赛授权范围、AI 安全网关、受控网络</w:t>
            </w:r>
          </w:p>
        </w:tc>
      </w:tr>
      <w:tr w14:paraId="3A0D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E53B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容器/OS 层</w:t>
            </w:r>
          </w:p>
        </w:tc>
        <w:tc>
          <w:tcPr>
            <w:tcW w:w="7087" w:type="dxa"/>
            <w:vAlign w:val="center"/>
          </w:tcPr>
          <w:p w14:paraId="36C272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pi-sandbox 或外部 container isolation，文件/网络/进程隔离</w:t>
            </w:r>
          </w:p>
        </w:tc>
      </w:tr>
      <w:tr w14:paraId="33E4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FA2B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 语义层</w:t>
            </w:r>
          </w:p>
        </w:tc>
        <w:tc>
          <w:tcPr>
            <w:tcW w:w="7087" w:type="dxa"/>
            <w:vAlign w:val="center"/>
          </w:tcPr>
          <w:p w14:paraId="68600D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scope、risk policy、protected paths、budget、autonomous authorization</w:t>
            </w:r>
          </w:p>
        </w:tc>
      </w:tr>
      <w:tr w14:paraId="0971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EB4C7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工具层</w:t>
            </w:r>
          </w:p>
        </w:tc>
        <w:tc>
          <w:tcPr>
            <w:tcW w:w="7087" w:type="dxa"/>
            <w:vAlign w:val="center"/>
          </w:tcPr>
          <w:p w14:paraId="4A8CCD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registry + deterministic adapter + preconditions + audit + normalized evidence</w:t>
            </w:r>
          </w:p>
        </w:tc>
      </w:tr>
    </w:tbl>
    <w:p w14:paraId="7AA644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6631FC5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13.4 Autonomous 越界语义的竞赛强化建议</w:t>
      </w:r>
    </w:p>
    <w:p w14:paraId="39597A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当前代码在 autonomous 条件满足后，对 out-of-scope 目标记录 high-risk warning 并允许继续，目的是支持“隔离环境内受控自主探索”。从比赛合规角度，建议在外层增加 OrganizerScope/EnvironmentScope：主办方声明范围永远 hard deny；仅在该硬范围内部，才允许任务级 scope 在 autonomous 模式下采用 warn/探索语义。这样可同时保留研究价值和竞赛授权安全。</w:t>
      </w:r>
    </w:p>
    <w:p w14:paraId="51D96A71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【设计建议】该“主办方硬边界”属于本轮审查提出的增强建议；当前 commit 的 `scope.ts + gateway.ts` 尚未体现独立 OrganizerScope 类型。</w:t>
      </w:r>
    </w:p>
    <w:p w14:paraId="0026AA59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代码依据：packages/secagent/README.md；packages/secagent/src/runtime-packages.ts；packages/secagent/templates/；packages/secagent/docs/competition.md</w:t>
      </w:r>
    </w:p>
    <w:p w14:paraId="4CFD0C9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14. CLI / Web 交互与人机协同设计</w:t>
      </w:r>
    </w:p>
    <w:p w14:paraId="63BFC32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14.1 CLI</w:t>
      </w:r>
    </w:p>
    <w:p w14:paraId="7AA8526E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pi --agent-mode sec</w:t>
      </w:r>
    </w:p>
    <w:p w14:paraId="7FE70B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CLI 适合现场快速操作、脚本化回放与审计输出。`/agent-mode coding|sec` 创建同工作目录的新空白 Session，不原地修改历史 Session。`/sec-doctor` 用于演示前自检。</w:t>
      </w:r>
    </w:p>
    <w:p w14:paraId="0244E00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14.2 Pi Web 安全工作区</w:t>
      </w:r>
    </w:p>
    <w:p w14:paraId="7A4C74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Web sec workspace 展示 current task/stage、explicit scope、policy/isolation、evidence/findings、decisions、tool audit、diagnostics 和 Markdown/JSON report。结构化状态与控制支持英文/简体中文；模型、finding 和工具原始输出保持运行时语言。</w:t>
      </w:r>
    </w:p>
    <w:p w14:paraId="5975D5D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14.3 SSE 与状态一致性</w:t>
      </w:r>
    </w:p>
    <w:p w14:paraId="55A84F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running-state 更新使用 SSE，并有 fallback polling。Web 不自己维护独立 security truth，而是读取 Profile API 暴露的同一 SecAgentRuntime snapshot。这样浏览器刷新或连接恢复后仍能以 Session 持久化状态为准。</w:t>
      </w:r>
    </w:p>
    <w:p w14:paraId="1F88E7E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14.4 人机协同终审工作流建议</w:t>
      </w:r>
    </w:p>
    <w:p w14:paraId="6FA2D753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队员 1：任务拆解 / 授权范围确认 / 提交 SecurityTaskSpec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队员 2：监看 Evidence Graph / Tool Audit / 风险确认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队员 3：并行人工分析、准备补充输入与最终报告核对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SecAgent：候选生成 → 自动执行 → 证据验证 → 动态重规划 → 报告输出</w:t>
      </w:r>
    </w:p>
    <w:p w14:paraId="385F7E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这种分工与终审“3 名队员 + 自研 AI Agent”的赛制天然匹配：人负责目标、授权、异常判断和最终责任，Agent 负责高吞吐、可重复、跨工具的状态化执行。</w:t>
      </w:r>
    </w:p>
    <w:p w14:paraId="69CBDC2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15. 安全威胁模型与防护设计</w:t>
      </w:r>
    </w:p>
    <w:p w14:paraId="2EA20D5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15.1 主要威胁面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3969"/>
      </w:tblGrid>
      <w:tr w14:paraId="2962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6978D4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威胁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034A11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可能后果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278EC7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现有控制</w:t>
            </w:r>
          </w:p>
        </w:tc>
      </w:tr>
      <w:tr w14:paraId="53F0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D8E6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Prompt/附件诱导扩大目标</w:t>
            </w:r>
          </w:p>
        </w:tc>
        <w:tc>
          <w:tcPr>
            <w:tcW w:w="3118" w:type="dxa"/>
            <w:vAlign w:val="center"/>
          </w:tcPr>
          <w:p w14:paraId="115F2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未经授权探测外部资产</w:t>
            </w:r>
          </w:p>
        </w:tc>
        <w:tc>
          <w:tcPr>
            <w:tcW w:w="3969" w:type="dxa"/>
            <w:vAlign w:val="center"/>
          </w:tcPr>
          <w:p w14:paraId="360CF1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附件不等于 scope；network action 必须提取 target 并检查 scope</w:t>
            </w:r>
          </w:p>
        </w:tc>
      </w:tr>
      <w:tr w14:paraId="7094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598D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Zip Slip / 压缩炸弹 / 符号链接</w:t>
            </w:r>
          </w:p>
        </w:tc>
        <w:tc>
          <w:tcPr>
            <w:tcW w:w="3118" w:type="dxa"/>
            <w:vAlign w:val="center"/>
          </w:tcPr>
          <w:p w14:paraId="1A5308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逃逸临时目录、资源耗尽</w:t>
            </w:r>
          </w:p>
        </w:tc>
        <w:tc>
          <w:tcPr>
            <w:tcW w:w="3969" w:type="dxa"/>
            <w:vAlign w:val="center"/>
          </w:tcPr>
          <w:p w14:paraId="1A5DB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entry path 校验、文件数/大小/深度限制、解包后树检查、拒绝 symlink</w:t>
            </w:r>
          </w:p>
        </w:tc>
      </w:tr>
      <w:tr w14:paraId="5298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4991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模型生成破坏性命令</w:t>
            </w:r>
          </w:p>
        </w:tc>
        <w:tc>
          <w:tcPr>
            <w:tcW w:w="3118" w:type="dxa"/>
            <w:vAlign w:val="center"/>
          </w:tcPr>
          <w:p w14:paraId="19F8F1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删除/重启/写设备</w:t>
            </w:r>
          </w:p>
        </w:tc>
        <w:tc>
          <w:tcPr>
            <w:tcW w:w="3969" w:type="dxa"/>
            <w:vAlign w:val="center"/>
          </w:tcPr>
          <w:p w14:paraId="302906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P3 pattern、policy confirm、protected paths；autonomous loop 使用结构化 builder</w:t>
            </w:r>
          </w:p>
        </w:tc>
      </w:tr>
      <w:tr w14:paraId="4817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AC8B6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工具名伪装/未知工具</w:t>
            </w:r>
          </w:p>
        </w:tc>
        <w:tc>
          <w:tcPr>
            <w:tcW w:w="3118" w:type="dxa"/>
            <w:vAlign w:val="center"/>
          </w:tcPr>
          <w:p w14:paraId="2C1110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绕过风险分类</w:t>
            </w:r>
          </w:p>
        </w:tc>
        <w:tc>
          <w:tcPr>
            <w:tcW w:w="3969" w:type="dxa"/>
            <w:vAlign w:val="center"/>
          </w:tcPr>
          <w:p w14:paraId="2C389C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unknown tool conservative fallback；adapter 未注册则 Gateway 拒绝 autonomous execution</w:t>
            </w:r>
          </w:p>
        </w:tc>
      </w:tr>
      <w:tr w14:paraId="050F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75CF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MCP 工具隐藏网络目标</w:t>
            </w:r>
          </w:p>
        </w:tc>
        <w:tc>
          <w:tcPr>
            <w:tcW w:w="3118" w:type="dxa"/>
            <w:vAlign w:val="center"/>
          </w:tcPr>
          <w:p w14:paraId="21F362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跨 scope 调用</w:t>
            </w:r>
          </w:p>
        </w:tc>
        <w:tc>
          <w:tcPr>
            <w:tcW w:w="3969" w:type="dxa"/>
            <w:vAlign w:val="center"/>
          </w:tcPr>
          <w:p w14:paraId="0F03BF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递归参数目标提取 + 名称风险映射</w:t>
            </w:r>
          </w:p>
        </w:tc>
      </w:tr>
      <w:tr w14:paraId="1838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39AC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同一证据重复计数</w:t>
            </w:r>
          </w:p>
        </w:tc>
        <w:tc>
          <w:tcPr>
            <w:tcW w:w="3118" w:type="dxa"/>
            <w:vAlign w:val="center"/>
          </w:tcPr>
          <w:p w14:paraId="072EC4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虚假多源确认</w:t>
            </w:r>
          </w:p>
        </w:tc>
        <w:tc>
          <w:tcPr>
            <w:tcW w:w="3969" w:type="dxa"/>
            <w:vAlign w:val="center"/>
          </w:tcPr>
          <w:p w14:paraId="038AF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source key 去重；hash/source 级独立性</w:t>
            </w:r>
          </w:p>
        </w:tc>
      </w:tr>
      <w:tr w14:paraId="5826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501D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模型自说“任务完成”</w:t>
            </w:r>
          </w:p>
        </w:tc>
        <w:tc>
          <w:tcPr>
            <w:tcW w:w="3118" w:type="dxa"/>
            <w:vAlign w:val="center"/>
          </w:tcPr>
          <w:p w14:paraId="7494AB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提前停止并产生假结论</w:t>
            </w:r>
          </w:p>
        </w:tc>
        <w:tc>
          <w:tcPr>
            <w:tcW w:w="3969" w:type="dxa"/>
            <w:vAlign w:val="center"/>
          </w:tcPr>
          <w:p w14:paraId="68F844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external termination guard + verified finding gate</w:t>
            </w:r>
          </w:p>
        </w:tc>
      </w:tr>
      <w:tr w14:paraId="725E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E7734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长任务无限试错</w:t>
            </w:r>
          </w:p>
        </w:tc>
        <w:tc>
          <w:tcPr>
            <w:tcW w:w="3118" w:type="dxa"/>
            <w:vAlign w:val="center"/>
          </w:tcPr>
          <w:p w14:paraId="7D304D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资源失控/时间浪费</w:t>
            </w:r>
          </w:p>
        </w:tc>
        <w:tc>
          <w:tcPr>
            <w:tcW w:w="3969" w:type="dxa"/>
            <w:vAlign w:val="center"/>
          </w:tcPr>
          <w:p w14:paraId="478FB4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decision/tool/replan budget、deadline、step max 50、novelty penalty</w:t>
            </w:r>
          </w:p>
        </w:tc>
      </w:tr>
      <w:tr w14:paraId="4CBB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9DB7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敏感凭证进入报告</w:t>
            </w:r>
          </w:p>
        </w:tc>
        <w:tc>
          <w:tcPr>
            <w:tcW w:w="3118" w:type="dxa"/>
            <w:vAlign w:val="center"/>
          </w:tcPr>
          <w:p w14:paraId="485F0A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数据泄露</w:t>
            </w:r>
          </w:p>
        </w:tc>
        <w:tc>
          <w:tcPr>
            <w:tcW w:w="3969" w:type="dxa"/>
            <w:vAlign w:val="center"/>
          </w:tcPr>
          <w:p w14:paraId="7D6B7E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protected paths + 报告脱敏设计；提交前人工检查 trace/output</w:t>
            </w:r>
          </w:p>
        </w:tc>
      </w:tr>
    </w:tbl>
    <w:p w14:paraId="2690EC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68C9069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15.2 当前仍需加强的威胁面</w:t>
      </w:r>
    </w:p>
    <w:p w14:paraId="01D5E5B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IPv6 scope 尚未建模；在真实网络环境中应补 IPv6 与 IPv6 CIDR。</w:t>
      </w:r>
    </w:p>
    <w:p w14:paraId="690C724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工具风险对未知 MCP tool 主要依赖名称启发式；更理想方案是优先采用 MCP server 提供的结构化 capability/risk metadata，并以启发式作为保守 fallback。</w:t>
      </w:r>
    </w:p>
    <w:p w14:paraId="2481B4E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PDF/图像/YAML 等输入的深度语义解析目前依赖宿主层；应对恶意文档时仍需限制模型可访问的本地路径与外部资源。</w:t>
      </w:r>
    </w:p>
    <w:p w14:paraId="3C6F00B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报告脱敏需要覆盖模型输出、工具 stdout/stderr、MCP 参数和 trace，而不仅是最终 finding 字段。</w:t>
      </w:r>
    </w:p>
    <w:p w14:paraId="1FEB9D3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Autonomous 的应用层 out-of-scope warn 语义建议在比赛环境外再叠一层不可越过的 OrganizerScope。</w:t>
      </w:r>
    </w:p>
    <w:p w14:paraId="1390587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16. 可解释性、审计与可复现设计</w:t>
      </w:r>
    </w:p>
    <w:p w14:paraId="2CA8602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16.1 Decision 记录</w:t>
      </w:r>
    </w:p>
    <w:p w14:paraId="290A30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每个 SecurityDecision 保存 goal、stage、evidenceIds、全部 scored candidates、selectedActionId、rationale、expectedResult、actualResult、resultStatus、planRevision、attempt、replanId 和 budgetSnapshot。评委可以在一次失败后看到“有哪些候选、为何选它、执行发生了什么、为何换策略”。</w:t>
      </w:r>
    </w:p>
    <w:p w14:paraId="5E9D07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16.2 ToolAuditRecord</w:t>
      </w:r>
    </w:p>
    <w:p w14:paraId="4BB1BF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ToolAuditRecord 保存 toolCallId、toolName、decisionId、风险评估、scope 评估、policy mode/decision、userApproved、blocked/blockReason、warnings、inputSummary、resultSummary 和时间戳。审计回答“动作是否获得授权、风险是什么、是否被阻断、操作者是否确认”。</w:t>
      </w:r>
    </w:p>
    <w:p w14:paraId="12F166B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16.3 可复现链条</w:t>
      </w:r>
    </w:p>
    <w:p w14:paraId="1A0009D1">
      <w:pPr>
        <w:pStyle w:val="164"/>
        <w:pageBreakBefore w:val="0"/>
        <w:widowControl/>
        <w:shd w:val="clear" w:fill="F3F4F6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TaskSpec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SecurityEvent history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SecurityState snapshot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Decision candidates/rationale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ToolAudit + adapter input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Evidence(source/hash/target)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Verification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Finding</w:t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 xml:space="preserve"> -&gt; Markdown/JSON report</w:t>
      </w:r>
    </w:p>
    <w:p w14:paraId="4AA1E3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这套链条强调的是“外部可复现的行为依据”，而不是要求泄露模型内部推理过程。</w:t>
      </w:r>
    </w:p>
    <w:p w14:paraId="37DF454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17. 报告生成与结果呈现</w:t>
      </w:r>
    </w:p>
    <w:p w14:paraId="7818FCA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17.1 报告应包含的内容</w:t>
      </w:r>
    </w:p>
    <w:p w14:paraId="752B0CE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任务目标、场景、约束、成功条件；</w:t>
      </w:r>
    </w:p>
    <w:p w14:paraId="465D056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授权范围、策略模式、隔离状态与 autonomous authorization；</w:t>
      </w:r>
    </w:p>
    <w:p w14:paraId="7B735CE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执行时间线、每次 decision 和 replan；</w:t>
      </w:r>
    </w:p>
    <w:p w14:paraId="1E8C9A4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evidence 来源、摘要、SHA-256、置信度、target refs；</w:t>
      </w:r>
    </w:p>
    <w:p w14:paraId="213795B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hypothesis/verification 与冲突证据；</w:t>
      </w:r>
    </w:p>
    <w:p w14:paraId="1C51584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verified/unverified findings、严重度与 remediation；</w:t>
      </w:r>
    </w:p>
    <w:p w14:paraId="7FC39EB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tool audit、阻断动作和风险确认；</w:t>
      </w:r>
    </w:p>
    <w:p w14:paraId="4387D7A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budget 使用、observer signals 和终止原因。</w:t>
      </w:r>
    </w:p>
    <w:p w14:paraId="2501C98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17.2 Markdown 与 JSON 双格式</w:t>
      </w:r>
    </w:p>
    <w:p w14:paraId="60C77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Markdown 用于人类评委快速阅读，JSON 用于自动评测、后续统计与可复现分析。两者均应来自同一 persisted state，而不是分别由模型自由撰写，以保证内容一致性。</w:t>
      </w:r>
    </w:p>
    <w:p w14:paraId="4A76F89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17.3 脱敏与提交前审计</w:t>
      </w:r>
    </w:p>
    <w:p w14:paraId="1194B8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默认导出应避免 API Key、Cookie、Authorization header、私钥和未经授权的真实业务数据。最终比赛提交前需要对 prompt、tool input、stdout/stderr、MCP args、trace、report attachments 做统一敏感信息检查。</w:t>
      </w:r>
    </w:p>
    <w:p w14:paraId="3B37CEF5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代码依据：packages/secagent/src/report/generator.ts；packages/secagent/src/core/audit.ts</w:t>
      </w:r>
    </w:p>
    <w:p w14:paraId="3A17172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18. 工程扩展性设计</w:t>
      </w:r>
    </w:p>
    <w:p w14:paraId="0A3D104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18.1 新工具</w:t>
      </w:r>
    </w:p>
    <w:p w14:paraId="5E635F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通过 catalog + registry + adapter + action-input builder + tests 的纵向扩展，不修改 Agent Loop。工具能力、风险和适用 Agent 由元数据驱动。</w:t>
      </w:r>
    </w:p>
    <w:p w14:paraId="5FB0103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18.2 新场景</w:t>
      </w:r>
    </w:p>
    <w:p w14:paraId="787CE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新场景优先复用现有 capability 与 specialist，增加 Candidate Generator 条件、controlled scenario invariants 和 benchmark coverage；避免按题型复制全套 loop。</w:t>
      </w:r>
    </w:p>
    <w:p w14:paraId="07941D7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18.3 新专家</w:t>
      </w:r>
    </w:p>
    <w:p w14:paraId="2AA9F0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新增 specialist 时应明确角色边界、最小上下文、允许能力和证据回收规则；delegation 必须继承 scope/authorization/budget，不新增隐式权限。</w:t>
      </w:r>
    </w:p>
    <w:p w14:paraId="1778CE7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18.4 新模型 / 国内模型网关</w:t>
      </w:r>
    </w:p>
    <w:p w14:paraId="54E8E8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模型由 Pi provider abstraction 与比赛环境配置接入。SecAgent 的策略、Gateway、证据门与状态模型不依赖某一个模型供应商，因此可在主办方要求下切换到国内备案模型 API，而不重写安全执行内核。</w:t>
      </w:r>
    </w:p>
    <w:p w14:paraId="1A76DD3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18.5 新 MCP Server</w:t>
      </w:r>
    </w:p>
    <w:p w14:paraId="4B2418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通过 pi-mcp-adapter 接入；SecAgent 对 delegated tool 再进行名称风险推断、目标提取与 scope/policy 映射。后续可增加基于 server metadata 的 capability registry，实现比名称启发式更稳定的风险标注。</w:t>
      </w:r>
    </w:p>
    <w:p w14:paraId="7BC74CA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19. 测试与可验证性设计</w:t>
      </w:r>
    </w:p>
    <w:p w14:paraId="7B3184B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19.1 测试分层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4795"/>
        <w:gridCol w:w="4091"/>
      </w:tblGrid>
      <w:tr w14:paraId="43DF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CE6F1"/>
            <w:vAlign w:val="center"/>
          </w:tcPr>
          <w:p w14:paraId="6C37E3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层级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4CCCD5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目的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B2AAE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当前仓库证据</w:t>
            </w:r>
          </w:p>
        </w:tc>
      </w:tr>
      <w:tr w14:paraId="3DA3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8C9C6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单元测试</w:t>
            </w:r>
          </w:p>
        </w:tc>
        <w:tc>
          <w:tcPr>
            <w:tcW w:w="3402" w:type="dxa"/>
            <w:vAlign w:val="center"/>
          </w:tcPr>
          <w:p w14:paraId="00476E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输入解析、scope、policy、risk、budget、evidence/verifier 等确定性逻辑</w:t>
            </w:r>
          </w:p>
        </w:tc>
        <w:tc>
          <w:tcPr>
            <w:tcW w:w="3969" w:type="dxa"/>
            <w:vAlign w:val="center"/>
          </w:tcPr>
          <w:p w14:paraId="7BF10A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packages/secagent/test/*</w:t>
            </w:r>
          </w:p>
        </w:tc>
      </w:tr>
      <w:tr w14:paraId="6362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7F039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决策闭环测试</w:t>
            </w:r>
          </w:p>
        </w:tc>
        <w:tc>
          <w:tcPr>
            <w:tcW w:w="3402" w:type="dxa"/>
            <w:vAlign w:val="center"/>
          </w:tcPr>
          <w:p w14:paraId="319ED2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Candidate/Planner/Gateway/Observer/Replanner 联动</w:t>
            </w:r>
          </w:p>
        </w:tc>
        <w:tc>
          <w:tcPr>
            <w:tcW w:w="3969" w:type="dxa"/>
            <w:vAlign w:val="center"/>
          </w:tcPr>
          <w:p w14:paraId="665754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autonomous-loop.test.ts、gateway-replanning.test.ts</w:t>
            </w:r>
          </w:p>
        </w:tc>
      </w:tr>
      <w:tr w14:paraId="673B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90A72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受控场景回归</w:t>
            </w:r>
          </w:p>
        </w:tc>
        <w:tc>
          <w:tcPr>
            <w:tcW w:w="3402" w:type="dxa"/>
            <w:vAlign w:val="center"/>
          </w:tcPr>
          <w:p w14:paraId="6D08C2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Web/Pwn/Reverse/Forensics/Killchain 端到端不变量</w:t>
            </w:r>
          </w:p>
        </w:tc>
        <w:tc>
          <w:tcPr>
            <w:tcW w:w="3969" w:type="dxa"/>
            <w:vAlign w:val="center"/>
          </w:tcPr>
          <w:p w14:paraId="477EC1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controlled-harness.test.ts、controlled-benchmark.test.ts</w:t>
            </w:r>
          </w:p>
        </w:tc>
      </w:tr>
      <w:tr w14:paraId="2E34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EBE44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真实工具 Smoke</w:t>
            </w:r>
          </w:p>
        </w:tc>
        <w:tc>
          <w:tcPr>
            <w:tcW w:w="3402" w:type="dxa"/>
            <w:vAlign w:val="center"/>
          </w:tcPr>
          <w:p w14:paraId="6299A5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临时本地 fixture 与 loopback 真实可执行工具</w:t>
            </w:r>
          </w:p>
        </w:tc>
        <w:tc>
          <w:tcPr>
            <w:tcW w:w="3969" w:type="dxa"/>
            <w:vAlign w:val="center"/>
          </w:tcPr>
          <w:p w14:paraId="67CD9C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tools-local.test.ts 等，需 SECAGENT_REAL_TOOL_SMOKE=1</w:t>
            </w:r>
          </w:p>
        </w:tc>
      </w:tr>
      <w:tr w14:paraId="1E1A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230AC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Coding 回归</w:t>
            </w:r>
          </w:p>
        </w:tc>
        <w:tc>
          <w:tcPr>
            <w:tcW w:w="3402" w:type="dxa"/>
            <w:vAlign w:val="center"/>
          </w:tcPr>
          <w:p w14:paraId="1556F1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 profile 不影响默认 coding</w:t>
            </w:r>
          </w:p>
        </w:tc>
        <w:tc>
          <w:tcPr>
            <w:tcW w:w="3969" w:type="dxa"/>
            <w:vAlign w:val="center"/>
          </w:tcPr>
          <w:p w14:paraId="3C7CA5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coding-agent mode/profile tests</w:t>
            </w:r>
          </w:p>
        </w:tc>
      </w:tr>
      <w:tr w14:paraId="15C6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E248E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Web 回归</w:t>
            </w:r>
          </w:p>
        </w:tc>
        <w:tc>
          <w:tcPr>
            <w:tcW w:w="3402" w:type="dxa"/>
            <w:vAlign w:val="center"/>
          </w:tcPr>
          <w:p w14:paraId="7872A2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模式创建、Profile API、安全工作区状态</w:t>
            </w:r>
          </w:p>
        </w:tc>
        <w:tc>
          <w:tcPr>
            <w:tcW w:w="3969" w:type="dxa"/>
            <w:vAlign w:val="center"/>
          </w:tcPr>
          <w:p w14:paraId="4823EC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Pi Web tests</w:t>
            </w:r>
          </w:p>
        </w:tc>
      </w:tr>
      <w:tr w14:paraId="7104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7EF92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竞赛容器验收</w:t>
            </w:r>
          </w:p>
        </w:tc>
        <w:tc>
          <w:tcPr>
            <w:tcW w:w="3402" w:type="dxa"/>
            <w:vAlign w:val="center"/>
          </w:tcPr>
          <w:p w14:paraId="411274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固定镜像、真实工具版本、主办方网关</w:t>
            </w:r>
          </w:p>
        </w:tc>
        <w:tc>
          <w:tcPr>
            <w:tcW w:w="3969" w:type="dxa"/>
            <w:vAlign w:val="center"/>
          </w:tcPr>
          <w:p w14:paraId="73F44B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赛前 release gate</w:t>
            </w:r>
          </w:p>
        </w:tc>
      </w:tr>
    </w:tbl>
    <w:p w14:paraId="10B76A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5FBC50E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19.2 受控执行器测试的解释</w:t>
      </w:r>
    </w:p>
    <w:p w14:paraId="789ACF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deterministic CI 并非绕过核心实现：controlled harness 只替换外部 command executor，真实 Candidate Generator、Planner/Replanner、policy/scope、Gateway、registered adapters、state replay、Evidence Graph、Verifier、Observer 与 audit path 仍在执行。这样 CI 不依赖 Nmap/Nuclei/binwalk 等环境，同时可以稳定验证安全不变量。</w:t>
      </w:r>
    </w:p>
    <w:p w14:paraId="5BFEFA4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19.3 当前不能提前宣称的项目</w:t>
      </w:r>
    </w:p>
    <w:p w14:paraId="0BA8E64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最终 Docker/Compose 镜像在提交环境的一键构建与启动；</w:t>
      </w:r>
    </w:p>
    <w:p w14:paraId="7B3D3CB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主办方 AI 安全网关下的真实国内备案模型 API 连通性、限流和异常恢复；</w:t>
      </w:r>
    </w:p>
    <w:p w14:paraId="1ADA8A8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五类场景使用比赛镜像中“真实安装版本工具”的容器级 end-to-end smoke；</w:t>
      </w:r>
    </w:p>
    <w:p w14:paraId="1104D5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在线可测试地址的外网访问、鉴权、并发和日志留存。</w:t>
      </w:r>
    </w:p>
    <w:p w14:paraId="40086BBC">
      <w:pPr>
        <w:pStyle w:val="166"/>
        <w:pageBreakBefore w:val="0"/>
        <w:widowControl/>
        <w:shd w:val="clear" w:fill="FFF8E7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【提交纪律】这些内容应在测试报告中使用最终日志/截图/镜像摘要证明；本方案只描述设计和验收标准，不把“待验收”写成“已通过”。</w:t>
      </w:r>
    </w:p>
    <w:p w14:paraId="7FF6A6F6">
      <w:pPr>
        <w:pStyle w:val="166"/>
        <w:pageBreakBefore w:val="0"/>
        <w:widowControl/>
        <w:shd w:val="clear" w:fill="F5F7FA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代码依据：packages/secagent/test/；packages/secagent/src/scenarios/harness.ts；packages/secagent/docs/competition.md</w:t>
      </w:r>
    </w:p>
    <w:p w14:paraId="68DE33D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20. 创新点与技术价值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891"/>
        <w:gridCol w:w="2948"/>
        <w:gridCol w:w="1587"/>
      </w:tblGrid>
      <w:tr w14:paraId="3AB0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2D4C6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创新点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03B4E1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核心机制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19915F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相对普通 LLM Agent 的差异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0AB778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评分价值</w:t>
            </w:r>
          </w:p>
        </w:tc>
      </w:tr>
      <w:tr w14:paraId="6D0B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DF370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风险约束状态空间搜索</w:t>
            </w:r>
          </w:p>
        </w:tc>
        <w:tc>
          <w:tcPr>
            <w:tcW w:w="2891" w:type="dxa"/>
            <w:vAlign w:val="center"/>
          </w:tcPr>
          <w:p w14:paraId="5C0DF1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State + Candidate + Utility Planner + Gateway + Observer</w:t>
            </w:r>
          </w:p>
        </w:tc>
        <w:tc>
          <w:tcPr>
            <w:tcW w:w="2948" w:type="dxa"/>
            <w:vAlign w:val="center"/>
          </w:tcPr>
          <w:p w14:paraId="1CE54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不是对话顺序调用工具，而是在可审计状态上持续搜索</w:t>
            </w:r>
          </w:p>
        </w:tc>
        <w:tc>
          <w:tcPr>
            <w:tcW w:w="1587" w:type="dxa"/>
            <w:vAlign w:val="center"/>
          </w:tcPr>
          <w:p w14:paraId="798A0A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任务理解/创新</w:t>
            </w:r>
          </w:p>
        </w:tc>
      </w:tr>
      <w:tr w14:paraId="355D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393CE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模型与确定性执行内核分离</w:t>
            </w:r>
          </w:p>
        </w:tc>
        <w:tc>
          <w:tcPr>
            <w:tcW w:w="2891" w:type="dxa"/>
            <w:vAlign w:val="center"/>
          </w:tcPr>
          <w:p w14:paraId="6B013A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Candidate 与 deterministic action input/Gateway 解耦</w:t>
            </w:r>
          </w:p>
        </w:tc>
        <w:tc>
          <w:tcPr>
            <w:tcW w:w="2948" w:type="dxa"/>
            <w:vAlign w:val="center"/>
          </w:tcPr>
          <w:p w14:paraId="0C3654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模型提出策略，但不能在 autonomous loop 直接发明任意 argv</w:t>
            </w:r>
          </w:p>
        </w:tc>
        <w:tc>
          <w:tcPr>
            <w:tcW w:w="1587" w:type="dxa"/>
            <w:vAlign w:val="center"/>
          </w:tcPr>
          <w:p w14:paraId="4CDD5F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架构/可靠性</w:t>
            </w:r>
          </w:p>
        </w:tc>
      </w:tr>
      <w:tr w14:paraId="7DF8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64D02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能力族级抗停滞重规划</w:t>
            </w:r>
          </w:p>
        </w:tc>
        <w:tc>
          <w:tcPr>
            <w:tcW w:w="2891" w:type="dxa"/>
            <w:vAlign w:val="center"/>
          </w:tcPr>
          <w:p w14:paraId="65D2C9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capability strategy key + novelty penalty + repeated-failure</w:t>
            </w:r>
          </w:p>
        </w:tc>
        <w:tc>
          <w:tcPr>
            <w:tcW w:w="2948" w:type="dxa"/>
            <w:vAlign w:val="center"/>
          </w:tcPr>
          <w:p w14:paraId="0FB8C9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避免仅换工具名造成“伪重规划”</w:t>
            </w:r>
          </w:p>
        </w:tc>
        <w:tc>
          <w:tcPr>
            <w:tcW w:w="1587" w:type="dxa"/>
            <w:vAlign w:val="center"/>
          </w:tcPr>
          <w:p w14:paraId="2CC68B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任务执行/鲁棒性</w:t>
            </w:r>
          </w:p>
        </w:tc>
      </w:tr>
      <w:tr w14:paraId="68CB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BC358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Evidence Graph + Finding Gate</w:t>
            </w:r>
          </w:p>
        </w:tc>
        <w:tc>
          <w:tcPr>
            <w:tcW w:w="2891" w:type="dxa"/>
            <w:vAlign w:val="center"/>
          </w:tcPr>
          <w:p w14:paraId="583A15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显式证据关系、独立来源、冲突证据、verification gate</w:t>
            </w:r>
          </w:p>
        </w:tc>
        <w:tc>
          <w:tcPr>
            <w:tcW w:w="2948" w:type="dxa"/>
            <w:vAlign w:val="center"/>
          </w:tcPr>
          <w:p w14:paraId="13DE67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工具输出不直接等于漏洞结论</w:t>
            </w:r>
          </w:p>
        </w:tc>
        <w:tc>
          <w:tcPr>
            <w:tcW w:w="1587" w:type="dxa"/>
            <w:vAlign w:val="center"/>
          </w:tcPr>
          <w:p w14:paraId="44EC14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可解释性</w:t>
            </w:r>
          </w:p>
        </w:tc>
      </w:tr>
      <w:tr w14:paraId="130D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4CCD9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外部终止门</w:t>
            </w:r>
          </w:p>
        </w:tc>
        <w:tc>
          <w:tcPr>
            <w:tcW w:w="2891" w:type="dxa"/>
            <w:vAlign w:val="center"/>
          </w:tcPr>
          <w:p w14:paraId="376ADD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verified completion evidence 才允许 complete</w:t>
            </w:r>
          </w:p>
        </w:tc>
        <w:tc>
          <w:tcPr>
            <w:tcW w:w="2948" w:type="dxa"/>
            <w:vAlign w:val="center"/>
          </w:tcPr>
          <w:p w14:paraId="19037E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模型不能“自我宣布成功”</w:t>
            </w:r>
          </w:p>
        </w:tc>
        <w:tc>
          <w:tcPr>
            <w:tcW w:w="1587" w:type="dxa"/>
            <w:vAlign w:val="center"/>
          </w:tcPr>
          <w:p w14:paraId="0B38EC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可靠性/创新</w:t>
            </w:r>
          </w:p>
        </w:tc>
      </w:tr>
      <w:tr w14:paraId="03F9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5F312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事件溯源安全状态</w:t>
            </w:r>
          </w:p>
        </w:tc>
        <w:tc>
          <w:tcPr>
            <w:tcW w:w="2891" w:type="dxa"/>
            <w:vAlign w:val="center"/>
          </w:tcPr>
          <w:p w14:paraId="01A1C7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SecurityEvent → SecurityState v5</w:t>
            </w:r>
          </w:p>
        </w:tc>
        <w:tc>
          <w:tcPr>
            <w:tcW w:w="2948" w:type="dxa"/>
            <w:vAlign w:val="center"/>
          </w:tcPr>
          <w:p w14:paraId="6F8D10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可恢复、可分支、可重建报告</w:t>
            </w:r>
          </w:p>
        </w:tc>
        <w:tc>
          <w:tcPr>
            <w:tcW w:w="1587" w:type="dxa"/>
            <w:vAlign w:val="center"/>
          </w:tcPr>
          <w:p w14:paraId="1BCCF9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工程/可解释</w:t>
            </w:r>
          </w:p>
        </w:tc>
      </w:tr>
      <w:tr w14:paraId="5DA2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30538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双 Profile 非侵入集成</w:t>
            </w:r>
          </w:p>
        </w:tc>
        <w:tc>
          <w:tcPr>
            <w:tcW w:w="2891" w:type="dxa"/>
            <w:vAlign w:val="center"/>
          </w:tcPr>
          <w:p w14:paraId="62677A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coding 默认、sec opt-in</w:t>
            </w:r>
          </w:p>
        </w:tc>
        <w:tc>
          <w:tcPr>
            <w:tcW w:w="2948" w:type="dxa"/>
            <w:vAlign w:val="center"/>
          </w:tcPr>
          <w:p w14:paraId="0A7321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继承成熟 Pi 基础设施且降低安全功能回归面</w:t>
            </w:r>
          </w:p>
        </w:tc>
        <w:tc>
          <w:tcPr>
            <w:tcW w:w="1587" w:type="dxa"/>
            <w:vAlign w:val="center"/>
          </w:tcPr>
          <w:p w14:paraId="284CAA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架构/工程</w:t>
            </w:r>
          </w:p>
        </w:tc>
      </w:tr>
      <w:tr w14:paraId="5893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82077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MCP 再安全化</w:t>
            </w:r>
          </w:p>
        </w:tc>
        <w:tc>
          <w:tcPr>
            <w:tcW w:w="2891" w:type="dxa"/>
            <w:vAlign w:val="center"/>
          </w:tcPr>
          <w:p w14:paraId="5F0DC6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delegated tool risk + target extraction</w:t>
            </w:r>
          </w:p>
        </w:tc>
        <w:tc>
          <w:tcPr>
            <w:tcW w:w="2948" w:type="dxa"/>
            <w:vAlign w:val="center"/>
          </w:tcPr>
          <w:p w14:paraId="60E65E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MCP 不作为绕过 scope/policy 的旁路</w:t>
            </w:r>
          </w:p>
        </w:tc>
        <w:tc>
          <w:tcPr>
            <w:tcW w:w="1587" w:type="dxa"/>
            <w:vAlign w:val="center"/>
          </w:tcPr>
          <w:p w14:paraId="246E16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工具协同/安全</w:t>
            </w:r>
          </w:p>
        </w:tc>
      </w:tr>
    </w:tbl>
    <w:p w14:paraId="1583AD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ind w:left="0" w:leftChars="0" w:firstLine="0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</w:p>
    <w:p w14:paraId="30FFBEE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26. 结论</w:t>
      </w:r>
      <w:bookmarkStart w:id="0" w:name="_GoBack"/>
      <w:bookmarkEnd w:id="0"/>
    </w:p>
    <w:p w14:paraId="58ABE0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当前实现已经超越“LLM 调工具”的基础形态，形成了明确的安全决策内核：任务被结构化为 SecurityTaskSpec，状态以事件方式持久化，候选动作经过效用排序与能力族级重规划，真实执行必须通过统一 Gateway，结果进入 Evidence Graph 和 Verifier，Finding 与任务终止均受到独立验证门约束。与此同时，Coding/Sec 双 Profile、固定版本运行包、MCP/子 Agent 协同、受控 benchmark 与 CLI/Web 同状态桥，使该方案具备较好的工程可维护性和竞赛部署基础。</w:t>
      </w:r>
    </w:p>
    <w:p w14:paraId="7D190C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本轮审查也确认了几个不应被材料“包装掉”的边界：IPv6 scope 尚未覆盖，PDF/图像/YAML 深度解析并非 secagent 包内完整专用实现，7z 解包链路存在能力表述差异，正式容器/真实工具/主办方模型网关仍需最终验收。将这些边界明确写入方案并给出可执行的增强路线，反而能够证明项目具备工程真实性、风险意识和可持续演进能力。</w:t>
      </w:r>
    </w:p>
    <w:p w14:paraId="357DDA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面向初审与终审，方案的核心叙事应始终保持一致：SecAgent 的创新不在于“赋予模型更大权限”，而在于把模型的理解和探索能力嵌入一个可约束、可解释、可验证、可恢复的网络安全状态空间，使自主决策能够在真实工程边界内落地。</w:t>
      </w:r>
    </w:p>
    <w:sectPr>
      <w:headerReference r:id="rId5" w:type="default"/>
      <w:footerReference r:id="rId6" w:type="default"/>
      <w:pgSz w:w="12240" w:h="15840"/>
      <w:pgMar w:top="1247" w:right="1247" w:bottom="1134" w:left="141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E8C6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>SecAgent 方案设计文档  · 2026-09-02</w:t>
    </w:r>
    <w:r>
      <w:rPr>
        <w:rFonts w:ascii="Times New Roman" w:hAnsi="Times New Roman" w:eastAsia="宋体" w:cs="Times New Roman"/>
        <w:sz w:val="16"/>
      </w:rPr>
      <w:t xml:space="preserve">  ·  第 </w:t>
    </w:r>
    <w:r>
      <w:rPr>
        <w:rFonts w:ascii="Times New Roman" w:hAnsi="Times New Roman" w:eastAsia="宋体" w:cs="Times New Roman"/>
        <w:sz w:val="16"/>
      </w:rPr>
      <w:fldChar w:fldCharType="begin"/>
    </w:r>
    <w:r>
      <w:rPr>
        <w:rFonts w:ascii="Times New Roman" w:hAnsi="Times New Roman" w:eastAsia="宋体" w:cs="Times New Roman"/>
        <w:sz w:val="16"/>
      </w:rPr>
      <w:instrText xml:space="preserve"> PAGE </w:instrText>
    </w:r>
    <w:r>
      <w:rPr>
        <w:rFonts w:ascii="Times New Roman" w:hAnsi="Times New Roman" w:eastAsia="宋体" w:cs="Times New Roman"/>
        <w:sz w:val="16"/>
      </w:rPr>
      <w:fldChar w:fldCharType="end"/>
    </w:r>
    <w:r>
      <w:rPr>
        <w:rFonts w:ascii="Times New Roman" w:hAnsi="Times New Roman" w:eastAsia="宋体" w:cs="Times New Roman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22236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46464"/>
        <w:sz w:val="17"/>
      </w:rPr>
      <w:t>XH-202609｜SecAgent 通用网络安全智能体｜方案设计文档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E549FD"/>
    <w:rsid w:val="2B2B658A"/>
    <w:rsid w:val="30DA11D4"/>
    <w:rsid w:val="3ADE3FB6"/>
    <w:rsid w:val="3DB17760"/>
    <w:rsid w:val="3EA254A4"/>
    <w:rsid w:val="451D776B"/>
    <w:rsid w:val="5797131D"/>
    <w:rsid w:val="6732696D"/>
    <w:rsid w:val="701D4404"/>
    <w:rsid w:val="77907B18"/>
    <w:rsid w:val="788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  <w:ind w:firstLine="420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44A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00"/>
      <w:outlineLvl w:val="2"/>
    </w:pPr>
    <w:rPr>
      <w:rFonts w:asciiTheme="majorHAnsi" w:hAnsiTheme="majorHAnsi" w:eastAsiaTheme="majorEastAsia" w:cstheme="majorBidi"/>
      <w:b/>
      <w:bCs/>
      <w:color w:val="334E6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80" w:after="1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100" w:line="276" w:lineRule="auto"/>
      <w:ind w:left="283" w:right="170" w:firstLine="0"/>
    </w:pPr>
    <w:rPr>
      <w:rFonts w:ascii="Consolas" w:hAnsi="Consolas" w:eastAsia="宋体" w:cs="Consolas"/>
      <w:sz w:val="17"/>
      <w:szCs w:val="22"/>
      <w:lang w:val="en-US" w:eastAsia="en-US" w:bidi="ar-SA"/>
    </w:rPr>
  </w:style>
  <w:style w:type="paragraph" w:customStyle="1" w:styleId="165">
    <w:name w:val="Caption CN"/>
    <w:uiPriority w:val="0"/>
    <w:pPr>
      <w:spacing w:after="160" w:line="276" w:lineRule="auto"/>
      <w:ind w:firstLine="0"/>
      <w:jc w:val="center"/>
    </w:pPr>
    <w:rPr>
      <w:rFonts w:ascii="Times New Roman" w:hAnsi="Times New Roman" w:eastAsia="宋体" w:cs="Times New Roman"/>
      <w:color w:val="505050"/>
      <w:sz w:val="18"/>
      <w:szCs w:val="22"/>
      <w:lang w:val="en-US" w:eastAsia="en-US" w:bidi="ar-SA"/>
    </w:rPr>
  </w:style>
  <w:style w:type="paragraph" w:customStyle="1" w:styleId="166">
    <w:name w:val="Note Box"/>
    <w:uiPriority w:val="0"/>
    <w:pPr>
      <w:spacing w:before="80" w:after="100" w:line="276" w:lineRule="auto"/>
      <w:ind w:left="283" w:right="283" w:firstLine="0"/>
    </w:pPr>
    <w:rPr>
      <w:rFonts w:ascii="Times New Roman" w:hAnsi="Times New Roman" w:eastAsia="宋体" w:cs="Times New Roman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603</Words>
  <Characters>824</Characters>
  <Lines>0</Lines>
  <Paragraphs>0</Paragraphs>
  <TotalTime>3</TotalTime>
  <ScaleCrop>false</ScaleCrop>
  <LinksUpToDate>false</LinksUpToDate>
  <CharactersWithSpaces>866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参赛团队</dc:creator>
  <dc:description>基于 feat/secagent-security-kernel 分支 b9a3fd9a7a0811dc2de3fd5f7042b402090aafdc 审查完善</dc:description>
  <cp:keywords>SecAgent, Autonomous Cybersecurity Agent, XH-202609, SecurityExecutionGateway, Evidence Graph</cp:keywords>
  <cp:lastModifiedBy>李朝阳</cp:lastModifiedBy>
  <dcterms:modified xsi:type="dcterms:W3CDTF">2026-09-02T16:42:51Z</dcterms:modified>
  <dc:subject>XH-202609 参赛方案设计</dc:subject>
  <dc:title>SecAgent 具备自主决策能力的通用网络安全智能体——方案设计文档（完善版）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DBF961BDABC641AB9D1041B91A4989A2_12</vt:lpwstr>
  </property>
</Properties>
</file>