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2EE0"/>
    <w:p w14:paraId="3FFB86B5"/>
    <w:p w14:paraId="0143EAE8"/>
    <w:p w14:paraId="1B5C7529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60"/>
        </w:rPr>
        <w:t>SecAgent</w:t>
      </w:r>
    </w:p>
    <w:p w14:paraId="4978007A">
      <w:pPr>
        <w:ind w:firstLine="0"/>
        <w:jc w:val="center"/>
      </w:pPr>
      <w:r>
        <w:rPr>
          <w:rFonts w:ascii="Times New Roman" w:hAnsi="Times New Roman" w:eastAsia="宋体" w:cs="Times New Roman"/>
          <w:b/>
          <w:sz w:val="38"/>
        </w:rPr>
        <w:t>具备自主决策能力的通用网络安全智能体</w:t>
      </w:r>
    </w:p>
    <w:p w14:paraId="15C95052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244A73"/>
          <w:sz w:val="36"/>
        </w:rPr>
        <w:t>部署手册（代码审查完善版）</w:t>
      </w:r>
    </w:p>
    <w:p w14:paraId="26199A0C"/>
    <w:p w14:paraId="2BC7D217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7202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4A9C8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赛题编号</w:t>
            </w:r>
          </w:p>
        </w:tc>
        <w:tc>
          <w:tcPr>
            <w:tcW w:w="6520" w:type="dxa"/>
          </w:tcPr>
          <w:p w14:paraId="6F283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XH-202609</w:t>
            </w:r>
          </w:p>
        </w:tc>
      </w:tr>
      <w:tr w14:paraId="36B4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6B309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项目仓库</w:t>
            </w:r>
          </w:p>
        </w:tc>
        <w:tc>
          <w:tcPr>
            <w:tcW w:w="6520" w:type="dxa"/>
          </w:tcPr>
          <w:p w14:paraId="5B5BA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github.com/DrNbnonono/mypi</w:t>
            </w:r>
          </w:p>
        </w:tc>
      </w:tr>
      <w:tr w14:paraId="71B0C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50B63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参赛分支</w:t>
            </w:r>
          </w:p>
        </w:tc>
        <w:tc>
          <w:tcPr>
            <w:tcW w:w="6520" w:type="dxa"/>
          </w:tcPr>
          <w:p w14:paraId="56A81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feat/secagent-security-kernel</w:t>
            </w:r>
          </w:p>
        </w:tc>
      </w:tr>
      <w:tr w14:paraId="3223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19E51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代码审查基线</w:t>
            </w:r>
          </w:p>
        </w:tc>
        <w:tc>
          <w:tcPr>
            <w:tcW w:w="6520" w:type="dxa"/>
          </w:tcPr>
          <w:p w14:paraId="451D7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b9a3fd9a7a0811dc2de3fd5f7042b402090aafdc</w:t>
            </w:r>
          </w:p>
        </w:tc>
      </w:tr>
      <w:tr w14:paraId="0A3E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20AA3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SecAgent 包版本</w:t>
            </w:r>
          </w:p>
        </w:tc>
        <w:tc>
          <w:tcPr>
            <w:tcW w:w="6520" w:type="dxa"/>
          </w:tcPr>
          <w:p w14:paraId="5DE50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0.84.2</w:t>
            </w:r>
          </w:p>
        </w:tc>
      </w:tr>
      <w:tr w14:paraId="3CE8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681D8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文档版本</w:t>
            </w:r>
          </w:p>
        </w:tc>
        <w:tc>
          <w:tcPr>
            <w:tcW w:w="6520" w:type="dxa"/>
          </w:tcPr>
          <w:p w14:paraId="00F26B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V2.0（部署审查完善版）</w:t>
            </w:r>
          </w:p>
        </w:tc>
      </w:tr>
      <w:tr w14:paraId="327A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67DB93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编制日期</w:t>
            </w:r>
          </w:p>
        </w:tc>
        <w:tc>
          <w:tcPr>
            <w:tcW w:w="6520" w:type="dxa"/>
          </w:tcPr>
          <w:p w14:paraId="26019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2026年9月2日</w:t>
            </w:r>
          </w:p>
        </w:tc>
      </w:tr>
      <w:tr w14:paraId="14CD5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3C35F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团队/学校</w:t>
            </w:r>
          </w:p>
        </w:tc>
        <w:tc>
          <w:tcPr>
            <w:tcW w:w="6520" w:type="dxa"/>
          </w:tcPr>
          <w:p w14:paraId="1596F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【提交前填写】</w:t>
            </w:r>
          </w:p>
        </w:tc>
      </w:tr>
    </w:tbl>
    <w:p w14:paraId="0C6E2D6F">
      <w:pPr>
        <w:ind w:left="0" w:leftChars="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br w:type="page"/>
      </w:r>
    </w:p>
    <w:sdt>
      <w:sdtPr>
        <w:rPr>
          <w:rFonts w:ascii="宋体" w:hAnsi="宋体" w:eastAsia="宋体" w:cs="Times New Roman"/>
          <w:sz w:val="21"/>
          <w:szCs w:val="22"/>
          <w:lang w:val="en-US" w:eastAsia="en-US" w:bidi="ar-SA"/>
        </w:rPr>
        <w:id w:val="147475156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0"/>
          <w:szCs w:val="22"/>
          <w:lang w:val="en-US" w:eastAsia="en-US" w:bidi="ar-SA"/>
        </w:rPr>
      </w:sdtEndPr>
      <w:sdtContent>
        <w:p w14:paraId="74C24D7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402363E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ascii="Times New Roman" w:hAnsi="Times New Roman" w:eastAsia="宋体" w:cs="Times New Roman"/>
            </w:rPr>
            <w:fldChar w:fldCharType="begin"/>
          </w:r>
          <w:r>
            <w:rPr>
              <w:rFonts w:ascii="Times New Roman" w:hAnsi="Times New Roman" w:eastAsia="宋体" w:cs="Times New Roman"/>
            </w:rPr>
            <w:instrText xml:space="preserve">TOC \o "1-1" \h \u </w:instrText>
          </w:r>
          <w:r>
            <w:rPr>
              <w:rFonts w:ascii="Times New Roman" w:hAnsi="Times New Roman" w:eastAsia="宋体" w:cs="Times New Roman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_Toc22137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1. 部署目标、范围与原则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_Toc22137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3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783CE2C2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_Toc15501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2. 部署模式选择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_Toc15501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4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13F9F937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_Toc970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3. 前置环境与主机准备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_Toc970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4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35BE3638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_Toc657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4. 原生 Linux / WSL 源码部署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_Toc657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5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5D787289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_Toc1525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5. Sec-only 运行包与 CLI/Web 启动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_Toc1525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6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58021224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_Toc17683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6. 安全工具部署：Catalog、Adapter 与二进制必须分别核对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_Toc17683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7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6C37B68F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_Toc4748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7. /sec-doctor 与 readiness 的正确解释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_Toc4748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8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7C3A4E3C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_Toc5530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8. 模型 Provider、AI 安全网关与代理配置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_Toc5530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9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3CC00A2B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_Toc26164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9. Docker 镜像：当前构建链与硬化要求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_Toc26164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10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1C66A040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_Toc21129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10. Docker Compose：受控验收拓扑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_Toc21129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12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0602C039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_Toc28877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11. Sandbox 与 MCP 部署配置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_Toc28877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13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541CAC44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_Toc13091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12. Secret、环境变量与构建上下文治理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_Toc13091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14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5245C305">
          <w:pPr>
            <w:pStyle w:val="26"/>
            <w:tabs>
              <w:tab w:val="right" w:leader="dot" w:pos="9773"/>
            </w:tabs>
            <w:rPr>
              <w:rFonts w:hint="eastAsia" w:ascii="华文楷体" w:hAnsi="华文楷体" w:eastAsia="华文楷体" w:cs="华文楷体"/>
              <w:sz w:val="28"/>
              <w:szCs w:val="36"/>
            </w:rPr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_Toc32751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附录 A. 快速命令清单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_Toc32751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15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688AEA55">
          <w:pPr>
            <w:pStyle w:val="26"/>
            <w:tabs>
              <w:tab w:val="right" w:leader="dot" w:pos="9773"/>
            </w:tabs>
          </w:pP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HYPERLINK \l _Toc23699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i w:val="0"/>
              <w:strike w:val="0"/>
              <w:sz w:val="28"/>
              <w:szCs w:val="48"/>
              <w:lang w:val="en-US" w:eastAsia="zh-CN"/>
            </w:rPr>
            <w:t>附录 B. 关键环境变量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ab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begin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instrText xml:space="preserve"> PAGEREF _Toc23699 \h </w:instrTex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t>15</w:t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  <w:r>
            <w:rPr>
              <w:rFonts w:hint="eastAsia" w:ascii="华文楷体" w:hAnsi="华文楷体" w:eastAsia="华文楷体" w:cs="华文楷体"/>
              <w:sz w:val="28"/>
              <w:szCs w:val="36"/>
            </w:rPr>
            <w:fldChar w:fldCharType="end"/>
          </w:r>
        </w:p>
        <w:p w14:paraId="69415F3A">
          <w:pPr>
            <w:ind w:left="0" w:leftChars="0" w:firstLine="0" w:firstLineChars="0"/>
            <w:rPr>
              <w:rFonts w:ascii="Times New Roman" w:hAnsi="Times New Roman" w:eastAsia="宋体" w:cs="Times New Roman"/>
              <w:sz w:val="20"/>
              <w:szCs w:val="22"/>
              <w:lang w:val="en-US" w:eastAsia="en-US" w:bidi="ar-SA"/>
            </w:rPr>
            <w:sectPr>
              <w:headerReference r:id="rId5" w:type="default"/>
              <w:footerReference r:id="rId6" w:type="default"/>
              <w:pgSz w:w="12240" w:h="15840"/>
              <w:pgMar w:top="1162" w:right="1191" w:bottom="1049" w:left="1276" w:header="454" w:footer="442" w:gutter="0"/>
              <w:cols w:space="720" w:num="1"/>
              <w:docGrid w:linePitch="360" w:charSpace="0"/>
            </w:sectPr>
          </w:pPr>
          <w:r>
            <w:rPr>
              <w:rFonts w:ascii="Times New Roman" w:hAnsi="Times New Roman" w:eastAsia="宋体" w:cs="Times New Roman"/>
            </w:rPr>
            <w:fldChar w:fldCharType="end"/>
          </w:r>
        </w:p>
      </w:sdtContent>
    </w:sdt>
    <w:p w14:paraId="48BF45C0">
      <w:pPr>
        <w:ind w:left="0" w:leftChars="0" w:firstLine="0" w:firstLineChars="0"/>
        <w:rPr>
          <w:rFonts w:ascii="Times New Roman" w:hAnsi="Times New Roman" w:eastAsia="宋体" w:cs="Times New Roman"/>
          <w:sz w:val="20"/>
          <w:szCs w:val="22"/>
          <w:lang w:val="en-US" w:eastAsia="en-US" w:bidi="ar-SA"/>
        </w:rPr>
      </w:pPr>
    </w:p>
    <w:p w14:paraId="62A12BA7">
      <w:pPr>
        <w:ind w:left="0" w:leftChars="0" w:firstLine="0" w:firstLineChars="0"/>
        <w:rPr>
          <w:rFonts w:ascii="Times New Roman" w:hAnsi="Times New Roman" w:eastAsia="宋体" w:cs="Times New Roman"/>
        </w:rPr>
      </w:pPr>
    </w:p>
    <w:p w14:paraId="2B05FEE9">
      <w:pPr>
        <w:ind w:left="0" w:leftChars="0" w:firstLine="0" w:firstLineChars="0"/>
        <w:rPr>
          <w:rFonts w:ascii="Times New Roman" w:hAnsi="Times New Roman" w:eastAsia="宋体" w:cs="Times New Roman"/>
        </w:rPr>
      </w:pPr>
    </w:p>
    <w:p w14:paraId="35382090">
      <w:pPr>
        <w:spacing w:after="20"/>
        <w:ind w:left="0" w:leftChars="0" w:firstLine="0" w:firstLineChars="0"/>
      </w:pPr>
    </w:p>
    <w:p w14:paraId="1C6AA22E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852160" cy="333438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2284">
      <w:pPr>
        <w:pStyle w:val="167"/>
      </w:pPr>
      <w:r>
        <w:rPr>
          <w:rFonts w:ascii="Times New Roman" w:hAnsi="Times New Roman" w:eastAsia="宋体" w:cs="Times New Roman"/>
        </w:rPr>
        <w:t>图 1  SecAgent 三种部署模式及其边界</w:t>
      </w:r>
    </w:p>
    <w:p w14:paraId="3253141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0" w:name="_Toc22137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1. 部署目标、范围与原则</w:t>
      </w:r>
      <w:bookmarkEnd w:id="0"/>
    </w:p>
    <w:p w14:paraId="1A297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本手册面向三类使用者：初审专家复现人员、终审受控环境部署人员、团队内部开发/演示人员。部署目标不是只做到“进程能够启动”，而是使同一冻结代码基线在明确的授权和隔离边界内可重复启动 CLI 或 Web，能发现依赖缺失，能恢复 Session 状态，能输出审计/报告，并能通过可留档的验收脚本证明核心链路。</w:t>
      </w:r>
    </w:p>
    <w:p w14:paraId="4B95B68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1.1 部署完成的定义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535"/>
        <w:gridCol w:w="3118"/>
      </w:tblGrid>
      <w:tr w14:paraId="4795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0DAF32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维度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059323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部署完成条件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6D7686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证据</w:t>
            </w:r>
          </w:p>
        </w:tc>
      </w:tr>
      <w:tr w14:paraId="2CD7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7E32F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版本一致性</w:t>
            </w:r>
          </w:p>
        </w:tc>
        <w:tc>
          <w:tcPr>
            <w:tcW w:w="4535" w:type="dxa"/>
            <w:vAlign w:val="center"/>
          </w:tcPr>
          <w:p w14:paraId="673B7A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Git SHA、Node、npm、Sec runtime packages、镜像/系统工具版本可追溯</w:t>
            </w:r>
          </w:p>
        </w:tc>
        <w:tc>
          <w:tcPr>
            <w:tcW w:w="3118" w:type="dxa"/>
            <w:vAlign w:val="center"/>
          </w:tcPr>
          <w:p w14:paraId="4005D7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version.txt / git-rev.txt / image inspect</w:t>
            </w:r>
          </w:p>
        </w:tc>
      </w:tr>
      <w:tr w14:paraId="781C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D6D7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应用构建</w:t>
            </w:r>
          </w:p>
        </w:tc>
        <w:tc>
          <w:tcPr>
            <w:tcW w:w="4535" w:type="dxa"/>
            <w:vAlign w:val="center"/>
          </w:tcPr>
          <w:p w14:paraId="7DE519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根仓库与 Pi Web 生产构建均成功</w:t>
            </w:r>
          </w:p>
        </w:tc>
        <w:tc>
          <w:tcPr>
            <w:tcW w:w="3118" w:type="dxa"/>
            <w:vAlign w:val="center"/>
          </w:tcPr>
          <w:p w14:paraId="72B25C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build logs + exit code</w:t>
            </w:r>
          </w:p>
        </w:tc>
      </w:tr>
      <w:tr w14:paraId="7C6A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4A675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运行依赖</w:t>
            </w:r>
          </w:p>
        </w:tc>
        <w:tc>
          <w:tcPr>
            <w:tcW w:w="4535" w:type="dxa"/>
            <w:vAlign w:val="center"/>
          </w:tcPr>
          <w:p w14:paraId="6BE936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 个 Sec-only runtime package 精确版本可解析</w:t>
            </w:r>
          </w:p>
        </w:tc>
        <w:tc>
          <w:tcPr>
            <w:tcW w:w="3118" w:type="dxa"/>
            <w:vAlign w:val="center"/>
          </w:tcPr>
          <w:p w14:paraId="3E0506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/sec-doctor 或 inventory log</w:t>
            </w:r>
          </w:p>
        </w:tc>
      </w:tr>
      <w:tr w14:paraId="3293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330A4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安全工具</w:t>
            </w:r>
          </w:p>
        </w:tc>
        <w:tc>
          <w:tcPr>
            <w:tcW w:w="4535" w:type="dxa"/>
            <w:vAlign w:val="center"/>
          </w:tcPr>
          <w:p w14:paraId="4AB83C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实际要使用的 audited adapter 对应二进制可发现且版本可记录</w:t>
            </w:r>
          </w:p>
        </w:tc>
        <w:tc>
          <w:tcPr>
            <w:tcW w:w="3118" w:type="dxa"/>
            <w:vAlign w:val="center"/>
          </w:tcPr>
          <w:p w14:paraId="5A7B1F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tool inventory + smoke</w:t>
            </w:r>
          </w:p>
        </w:tc>
      </w:tr>
      <w:tr w14:paraId="0313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27AD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授权与隔离</w:t>
            </w:r>
          </w:p>
        </w:tc>
        <w:tc>
          <w:tcPr>
            <w:tcW w:w="4535" w:type="dxa"/>
            <w:vAlign w:val="center"/>
          </w:tcPr>
          <w:p w14:paraId="33A94C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scope、policy、isolation、autonomous authorization 使用结构化状态保存</w:t>
            </w:r>
          </w:p>
        </w:tc>
        <w:tc>
          <w:tcPr>
            <w:tcW w:w="3118" w:type="dxa"/>
            <w:vAlign w:val="center"/>
          </w:tcPr>
          <w:p w14:paraId="315587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Profile snapshot / report</w:t>
            </w:r>
          </w:p>
        </w:tc>
      </w:tr>
      <w:tr w14:paraId="66C2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FB33E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持久化</w:t>
            </w:r>
          </w:p>
        </w:tc>
        <w:tc>
          <w:tcPr>
            <w:tcW w:w="4535" w:type="dxa"/>
            <w:vAlign w:val="center"/>
          </w:tcPr>
          <w:p w14:paraId="310F18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Web/Session 重启后 mode、scope 和必要状态可恢复</w:t>
            </w:r>
          </w:p>
        </w:tc>
        <w:tc>
          <w:tcPr>
            <w:tcW w:w="3118" w:type="dxa"/>
            <w:vAlign w:val="center"/>
          </w:tcPr>
          <w:p w14:paraId="7D0420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restart smoke</w:t>
            </w:r>
          </w:p>
        </w:tc>
      </w:tr>
      <w:tr w14:paraId="77ED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33E00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网络</w:t>
            </w:r>
          </w:p>
        </w:tc>
        <w:tc>
          <w:tcPr>
            <w:tcW w:w="4535" w:type="dxa"/>
            <w:vAlign w:val="center"/>
          </w:tcPr>
          <w:p w14:paraId="1DCF1D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初审在线地址只暴露必要入口；终审容器只允许经授权的目标/AI 网关</w:t>
            </w:r>
          </w:p>
        </w:tc>
        <w:tc>
          <w:tcPr>
            <w:tcW w:w="3118" w:type="dxa"/>
            <w:vAlign w:val="center"/>
          </w:tcPr>
          <w:p w14:paraId="058158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proxy/firewall/Compose config</w:t>
            </w:r>
          </w:p>
        </w:tc>
      </w:tr>
      <w:tr w14:paraId="0635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F3FF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验收</w:t>
            </w:r>
          </w:p>
        </w:tc>
        <w:tc>
          <w:tcPr>
            <w:tcW w:w="4535" w:type="dxa"/>
            <w:vAlign w:val="center"/>
          </w:tcPr>
          <w:p w14:paraId="6040BA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competition-acceptance.sh 最终输出 PASS；模型网关另做受控 smoke</w:t>
            </w:r>
          </w:p>
        </w:tc>
        <w:tc>
          <w:tcPr>
            <w:tcW w:w="3118" w:type="dxa"/>
            <w:vAlign w:val="center"/>
          </w:tcPr>
          <w:p w14:paraId="3E2B3C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acceptance-summary.json + gateway smoke</w:t>
            </w:r>
          </w:p>
        </w:tc>
      </w:tr>
    </w:tbl>
    <w:p w14:paraId="446EEB49">
      <w:pPr>
        <w:spacing w:after="20"/>
      </w:pPr>
    </w:p>
    <w:p w14:paraId="3C5ABB2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1.2 安全原则</w:t>
      </w:r>
    </w:p>
    <w:p w14:paraId="3C2A9B8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/>
          <w:bCs/>
          <w:color w:val="auto"/>
          <w:kern w:val="2"/>
          <w:sz w:val="28"/>
          <w:szCs w:val="22"/>
          <w:lang w:val="en-US" w:eastAsia="zh-CN" w:bidi="ar-SA"/>
        </w:rPr>
        <w:t>最小权限：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只挂载必要 workspace、报告目录和只读工具/样本；不要把宿主 HOME、Docker socket、SSH/AWS/Kube 凭证目录暴露给容器。</w:t>
      </w:r>
    </w:p>
    <w:p w14:paraId="0AFC5DC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/>
          <w:bCs/>
          <w:color w:val="auto"/>
          <w:kern w:val="2"/>
          <w:sz w:val="28"/>
          <w:szCs w:val="22"/>
          <w:lang w:val="en-US" w:eastAsia="zh-CN" w:bidi="ar-SA"/>
        </w:rPr>
        <w:t>显式授权：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附件、Prompt 或工具输出都不等于授权。网络执行前必须写入 scope。</w:t>
      </w:r>
    </w:p>
    <w:p w14:paraId="712132B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/>
          <w:bCs/>
          <w:color w:val="auto"/>
          <w:kern w:val="2"/>
          <w:sz w:val="28"/>
          <w:szCs w:val="22"/>
          <w:lang w:val="en-US" w:eastAsia="zh-CN" w:bidi="ar-SA"/>
        </w:rPr>
        <w:t>凭据外置：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模型 API Key、Cookie、Token、代理密码不进入仓库、镜像、Session、PPT、日志或演示视频。</w:t>
      </w:r>
    </w:p>
    <w:p w14:paraId="616D53C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/>
          <w:bCs/>
          <w:color w:val="auto"/>
          <w:kern w:val="2"/>
          <w:sz w:val="28"/>
          <w:szCs w:val="22"/>
          <w:lang w:val="en-US" w:eastAsia="zh-CN" w:bidi="ar-SA"/>
        </w:rPr>
        <w:t>可审计：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所有部署变更应记录 Git SHA、镜像来源、镜像 digest、依赖版本、配置 diff 和验收时间。</w:t>
      </w:r>
    </w:p>
    <w:p w14:paraId="01FEEC5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1" w:name="_Toc15501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2. 部署模式选择</w:t>
      </w:r>
      <w:bookmarkEnd w:id="1"/>
      <w:bookmarkStart w:id="14" w:name="_GoBack"/>
      <w:bookmarkEnd w:id="14"/>
    </w:p>
    <w:p w14:paraId="1B2D11F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2.2 三种部署模式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4"/>
        <w:gridCol w:w="2721"/>
        <w:gridCol w:w="2665"/>
      </w:tblGrid>
      <w:tr w14:paraId="3308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44" w:type="dxa"/>
            <w:shd w:val="clear" w:color="auto" w:fill="DCE6F1"/>
            <w:vAlign w:val="center"/>
          </w:tcPr>
          <w:p w14:paraId="3F7F3A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模式</w:t>
            </w:r>
          </w:p>
        </w:tc>
        <w:tc>
          <w:tcPr>
            <w:tcW w:w="2721" w:type="dxa"/>
            <w:shd w:val="clear" w:color="auto" w:fill="DCE6F1"/>
            <w:vAlign w:val="center"/>
          </w:tcPr>
          <w:p w14:paraId="62CA12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适用场景</w:t>
            </w:r>
          </w:p>
        </w:tc>
        <w:tc>
          <w:tcPr>
            <w:tcW w:w="2665" w:type="dxa"/>
            <w:shd w:val="clear" w:color="auto" w:fill="DCE6F1"/>
            <w:vAlign w:val="center"/>
          </w:tcPr>
          <w:p w14:paraId="15259C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优点</w:t>
            </w:r>
          </w:p>
        </w:tc>
      </w:tr>
      <w:tr w14:paraId="5EF6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4" w:type="dxa"/>
            <w:vAlign w:val="center"/>
          </w:tcPr>
          <w:p w14:paraId="0645AB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 原生 Linux/WSL</w:t>
            </w:r>
          </w:p>
        </w:tc>
        <w:tc>
          <w:tcPr>
            <w:tcW w:w="2721" w:type="dxa"/>
            <w:vAlign w:val="center"/>
          </w:tcPr>
          <w:p w14:paraId="3F1E56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开发、功能联调、模型网关联调、录制演示</w:t>
            </w:r>
          </w:p>
        </w:tc>
        <w:tc>
          <w:tcPr>
            <w:tcW w:w="2665" w:type="dxa"/>
            <w:vAlign w:val="center"/>
          </w:tcPr>
          <w:p w14:paraId="751631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文件系统/网络/凭据集成最直接；便于定位问题</w:t>
            </w:r>
          </w:p>
        </w:tc>
      </w:tr>
      <w:tr w14:paraId="3AB1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4" w:type="dxa"/>
            <w:vAlign w:val="center"/>
          </w:tcPr>
          <w:p w14:paraId="0CA5CE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 当前 Compose 验收模式</w:t>
            </w:r>
          </w:p>
        </w:tc>
        <w:tc>
          <w:tcPr>
            <w:tcW w:w="2721" w:type="dxa"/>
            <w:vAlign w:val="center"/>
          </w:tcPr>
          <w:p w14:paraId="071387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离线/受控 fixture、容器验收</w:t>
            </w:r>
          </w:p>
        </w:tc>
        <w:tc>
          <w:tcPr>
            <w:tcW w:w="2665" w:type="dxa"/>
            <w:vAlign w:val="center"/>
          </w:tcPr>
          <w:p w14:paraId="29A512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read-only、cap_drop、internal network、固定工具版本</w:t>
            </w:r>
          </w:p>
        </w:tc>
      </w:tr>
      <w:tr w14:paraId="14A3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4" w:type="dxa"/>
            <w:vAlign w:val="center"/>
          </w:tcPr>
          <w:p w14:paraId="41B27B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 比赛在线容器模式</w:t>
            </w:r>
          </w:p>
        </w:tc>
        <w:tc>
          <w:tcPr>
            <w:tcW w:w="2721" w:type="dxa"/>
            <w:vAlign w:val="center"/>
          </w:tcPr>
          <w:p w14:paraId="7F218E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终审/在线初审受控实例</w:t>
            </w:r>
          </w:p>
        </w:tc>
        <w:tc>
          <w:tcPr>
            <w:tcW w:w="2665" w:type="dxa"/>
            <w:vAlign w:val="center"/>
          </w:tcPr>
          <w:p w14:paraId="35D4DF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兼顾容器隔离和模型调用</w:t>
            </w:r>
          </w:p>
        </w:tc>
      </w:tr>
    </w:tbl>
    <w:p w14:paraId="70613C9E">
      <w:pPr>
        <w:spacing w:after="20"/>
        <w:ind w:left="0" w:leftChars="0" w:firstLine="0" w:firstLineChars="0"/>
      </w:pPr>
    </w:p>
    <w:p w14:paraId="6B11531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2" w:name="_Toc970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3. 前置环境与主机准备</w:t>
      </w:r>
      <w:bookmarkEnd w:id="2"/>
    </w:p>
    <w:p w14:paraId="170DC6D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3.1 最低/推荐环境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4139"/>
      </w:tblGrid>
      <w:tr w14:paraId="49AE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3FE3C4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项目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0CB25C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最低要求/代码声明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475B9A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比赛/复现推荐</w:t>
            </w:r>
          </w:p>
        </w:tc>
      </w:tr>
      <w:tr w14:paraId="2F7A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8AB5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OS</w:t>
            </w:r>
          </w:p>
        </w:tc>
        <w:tc>
          <w:tcPr>
            <w:tcW w:w="3628" w:type="dxa"/>
            <w:vAlign w:val="center"/>
          </w:tcPr>
          <w:p w14:paraId="0353BB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Debian 系 Linux 或 WSL2</w:t>
            </w:r>
          </w:p>
        </w:tc>
        <w:tc>
          <w:tcPr>
            <w:tcW w:w="4139" w:type="dxa"/>
            <w:vAlign w:val="center"/>
          </w:tcPr>
          <w:p w14:paraId="234F97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Ubuntu 22.04/24.04、Debian 12；生产优先原生 Linux</w:t>
            </w:r>
          </w:p>
        </w:tc>
      </w:tr>
      <w:tr w14:paraId="72DC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1B74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Node.js</w:t>
            </w:r>
          </w:p>
        </w:tc>
        <w:tc>
          <w:tcPr>
            <w:tcW w:w="3628" w:type="dxa"/>
            <w:vAlign w:val="center"/>
          </w:tcPr>
          <w:p w14:paraId="0B236B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&gt;= 22.19.0</w:t>
            </w:r>
          </w:p>
        </w:tc>
        <w:tc>
          <w:tcPr>
            <w:tcW w:w="4139" w:type="dxa"/>
            <w:vAlign w:val="center"/>
          </w:tcPr>
          <w:p w14:paraId="281C8F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固定 22.x 小版本并记录 node --version</w:t>
            </w:r>
          </w:p>
        </w:tc>
      </w:tr>
      <w:tr w14:paraId="7814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C811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npm</w:t>
            </w:r>
          </w:p>
        </w:tc>
        <w:tc>
          <w:tcPr>
            <w:tcW w:w="3628" w:type="dxa"/>
            <w:vAlign w:val="center"/>
          </w:tcPr>
          <w:p w14:paraId="1AD40C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与 Node/lockfile 兼容</w:t>
            </w:r>
          </w:p>
        </w:tc>
        <w:tc>
          <w:tcPr>
            <w:tcW w:w="4139" w:type="dxa"/>
            <w:vAlign w:val="center"/>
          </w:tcPr>
          <w:p w14:paraId="505810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使用仓库 lockfile；正式复现优先 npm ci</w:t>
            </w:r>
          </w:p>
        </w:tc>
      </w:tr>
      <w:tr w14:paraId="3038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0FD2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Git</w:t>
            </w:r>
          </w:p>
        </w:tc>
        <w:tc>
          <w:tcPr>
            <w:tcW w:w="3628" w:type="dxa"/>
            <w:vAlign w:val="center"/>
          </w:tcPr>
          <w:p w14:paraId="18D93D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 checkout 指定 SHA</w:t>
            </w:r>
          </w:p>
        </w:tc>
        <w:tc>
          <w:tcPr>
            <w:tcW w:w="4139" w:type="dxa"/>
            <w:vAlign w:val="center"/>
          </w:tcPr>
          <w:p w14:paraId="7F063D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git 2.x；记录 git status --porcelain</w:t>
            </w:r>
          </w:p>
        </w:tc>
      </w:tr>
      <w:tr w14:paraId="6E42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DF3D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</w:t>
            </w:r>
          </w:p>
        </w:tc>
        <w:tc>
          <w:tcPr>
            <w:tcW w:w="3628" w:type="dxa"/>
            <w:vAlign w:val="center"/>
          </w:tcPr>
          <w:p w14:paraId="58C41C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仅容器路径需要</w:t>
            </w:r>
          </w:p>
        </w:tc>
        <w:tc>
          <w:tcPr>
            <w:tcW w:w="4139" w:type="dxa"/>
            <w:vAlign w:val="center"/>
          </w:tcPr>
          <w:p w14:paraId="36D375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 Engine/Desktop + Compose v2 + BuildKit；支持 build.network/entitlements</w:t>
            </w:r>
          </w:p>
        </w:tc>
      </w:tr>
      <w:tr w14:paraId="0719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C20B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Filesystem</w:t>
            </w:r>
          </w:p>
        </w:tc>
        <w:tc>
          <w:tcPr>
            <w:tcW w:w="3628" w:type="dxa"/>
            <w:vAlign w:val="center"/>
          </w:tcPr>
          <w:p w14:paraId="3111E8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无硬限制</w:t>
            </w:r>
          </w:p>
        </w:tc>
        <w:tc>
          <w:tcPr>
            <w:tcW w:w="4139" w:type="dxa"/>
            <w:vAlign w:val="center"/>
          </w:tcPr>
          <w:p w14:paraId="36F05E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WSL 把 repo/node_modules 放 ext4，例如 ~/src/mypi</w:t>
            </w:r>
          </w:p>
        </w:tc>
      </w:tr>
      <w:tr w14:paraId="71DB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422A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RAM/Disk</w:t>
            </w:r>
          </w:p>
        </w:tc>
        <w:tc>
          <w:tcPr>
            <w:tcW w:w="3628" w:type="dxa"/>
            <w:vAlign w:val="center"/>
          </w:tcPr>
          <w:p w14:paraId="4FD19D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仓库未给出正式下限</w:t>
            </w:r>
          </w:p>
        </w:tc>
        <w:tc>
          <w:tcPr>
            <w:tcW w:w="4139" w:type="dxa"/>
            <w:vAlign w:val="center"/>
          </w:tcPr>
          <w:p w14:paraId="3B73F6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建议 &gt;=8GB RAM；镜像/Node modules/构建留足磁盘；按实测记录</w:t>
            </w:r>
          </w:p>
        </w:tc>
      </w:tr>
      <w:tr w14:paraId="7398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A887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Network</w:t>
            </w:r>
          </w:p>
        </w:tc>
        <w:tc>
          <w:tcPr>
            <w:tcW w:w="3628" w:type="dxa"/>
            <w:vAlign w:val="center"/>
          </w:tcPr>
          <w:p w14:paraId="2F631E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源码构建需 npm/APT；比赛需 AI gateway</w:t>
            </w:r>
          </w:p>
        </w:tc>
        <w:tc>
          <w:tcPr>
            <w:tcW w:w="4139" w:type="dxa"/>
            <w:vAlign w:val="center"/>
          </w:tcPr>
          <w:p w14:paraId="1773D5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用受审镜像源/代理；真实安全目标必须在授权范围</w:t>
            </w:r>
          </w:p>
        </w:tc>
      </w:tr>
    </w:tbl>
    <w:p w14:paraId="379F6E04">
      <w:pPr>
        <w:spacing w:after="20"/>
      </w:pPr>
    </w:p>
    <w:p w14:paraId="221E606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3.2 WSL 注意事项</w:t>
      </w:r>
    </w:p>
    <w:p w14:paraId="759C2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仓库大量使用 npm、TypeScript、Next.js 和小文件扫描。位于 /mnt/c、/mnt/d、/mnt/e 的 Windows 挂载盘可能显著放大冷构建和全仓回归时间。Pi Web 启动器能把开发 .next/webpack cache 移到 /tmp，但无法消除源码与 node_modules 的挂载盘 I/O。</w:t>
      </w:r>
    </w:p>
    <w:p w14:paraId="4D96E1FB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mkdir -p ~/src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cd ~/src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clone https://github.com/DrNbnonono/mypi.git mypi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cd mypi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checkout feat/secagent-security-kernel</w:t>
      </w:r>
    </w:p>
    <w:p w14:paraId="260C9DE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3.3 部署前主机记录</w:t>
      </w:r>
    </w:p>
    <w:p w14:paraId="144A7158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uname -a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node --version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--version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--version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rev-parse HEAD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status --porcelain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容器路径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docker version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docker compose version</w:t>
      </w:r>
    </w:p>
    <w:p w14:paraId="466ADC1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3" w:name="_Toc657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4. 原生 Linux / WSL 源码部署</w:t>
      </w:r>
      <w:bookmarkEnd w:id="3"/>
    </w:p>
    <w:p w14:paraId="6B61787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4.1 干净检出与 SHA 核对</w:t>
      </w:r>
    </w:p>
    <w:p w14:paraId="495B91FE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git clone https://github.com/DrNbnonono/mypi.git mypi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cd mypi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checkout feat/secagent-security-kernel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rev-parse HEAD</w:t>
      </w:r>
    </w:p>
    <w:p w14:paraId="77EEE07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4.2 安装依赖</w:t>
      </w:r>
    </w:p>
    <w:p w14:paraId="3718C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Dockerfile 使用 npm ci --ignore-scripts；因此正式可复现部署推荐同样采用 npm ci。若 lockfile 与 package.json 不一致，应把它视为发布阻断，而不是现场运行 npm install 并静默重算依赖树。开发阶段可按仓库文档使用 npm install --ignore-scripts。</w:t>
      </w:r>
    </w:p>
    <w:p w14:paraId="6ACF5AFA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npm ci --ignore-scripts</w:t>
      </w:r>
    </w:p>
    <w:p w14:paraId="681B3BE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4.3 构建顺序</w:t>
      </w:r>
    </w:p>
    <w:p w14:paraId="7C1AB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根 package.json 的 build 脚本会构建 tui → telemetry → ai → agent → sqlite-node → protocol → client → server → secagent → coding-agent，但不会构建 packages/web-ui。因此 Web 生产部署必须额外执行 Web build。</w:t>
      </w:r>
    </w:p>
    <w:p w14:paraId="7FA8A797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npm run check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 --workspace=@agegr/pi-web</w:t>
      </w:r>
    </w:p>
    <w:p w14:paraId="73DEF4F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4" w:name="_Toc1525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5. Sec-only 运行包与 CLI/Web 启动</w:t>
      </w:r>
      <w:bookmarkEnd w:id="4"/>
    </w:p>
    <w:p w14:paraId="7839D58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5.1 独立 npm prefix</w:t>
      </w:r>
    </w:p>
    <w:p w14:paraId="0B080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 模式依赖四个固定 runtime package。代码会先按当前 Node resolution 解析；若设置 PI_SECAGENT_RUNTIME_DIR，则还会从该绝对目录建立额外 resolver。缺失包不会在 Session 启动时自动安装。</w:t>
      </w:r>
    </w:p>
    <w:p w14:paraId="593A3B5C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SECAGENT_RUNTIME_DIR="$HOME/.pi/secagent-runtime"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init --yes --prefix "$SECAGENT_RUNTIME_DIR" &gt;/dev/null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install --ignore-scripts --prefix "$SECAGENT_RUNTIME_DIR" --save-exact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pi-sandbox@0.6.3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pi-mcp-adapter@2.23.0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pi-subagents@0.50.0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pi-trace-extension@0.1.14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export PI_SECAGENT_RUNTIME_DIR="$SECAGENT_RUNTIME_DIR"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61"/>
        <w:gridCol w:w="2835"/>
        <w:gridCol w:w="2948"/>
      </w:tblGrid>
      <w:tr w14:paraId="56A91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4D9960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包</w:t>
            </w:r>
          </w:p>
        </w:tc>
        <w:tc>
          <w:tcPr>
            <w:tcW w:w="1361" w:type="dxa"/>
            <w:shd w:val="clear" w:color="auto" w:fill="DCE6F1"/>
            <w:vAlign w:val="center"/>
          </w:tcPr>
          <w:p w14:paraId="1E4710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固定版本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079655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用途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31966B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部署要求</w:t>
            </w:r>
          </w:p>
        </w:tc>
      </w:tr>
      <w:tr w14:paraId="6991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8A6E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pi-sandbox</w:t>
            </w:r>
          </w:p>
        </w:tc>
        <w:tc>
          <w:tcPr>
            <w:tcW w:w="1361" w:type="dxa"/>
            <w:vAlign w:val="center"/>
          </w:tcPr>
          <w:p w14:paraId="2E3DE3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0.6.3</w:t>
            </w:r>
          </w:p>
        </w:tc>
        <w:tc>
          <w:tcPr>
            <w:tcW w:w="2835" w:type="dxa"/>
            <w:vAlign w:val="center"/>
          </w:tcPr>
          <w:p w14:paraId="130313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OS/FS/network isolation</w:t>
            </w:r>
          </w:p>
        </w:tc>
        <w:tc>
          <w:tcPr>
            <w:tcW w:w="2948" w:type="dxa"/>
            <w:vAlign w:val="center"/>
          </w:tcPr>
          <w:p w14:paraId="0AAB6F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独立 prefix；scripts disabled</w:t>
            </w:r>
          </w:p>
        </w:tc>
      </w:tr>
      <w:tr w14:paraId="3D4D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5BF7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pi-mcp-adapter</w:t>
            </w:r>
          </w:p>
        </w:tc>
        <w:tc>
          <w:tcPr>
            <w:tcW w:w="1361" w:type="dxa"/>
            <w:vAlign w:val="center"/>
          </w:tcPr>
          <w:p w14:paraId="2E4942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2.23.0</w:t>
            </w:r>
          </w:p>
        </w:tc>
        <w:tc>
          <w:tcPr>
            <w:tcW w:w="2835" w:type="dxa"/>
            <w:vAlign w:val="center"/>
          </w:tcPr>
          <w:p w14:paraId="5775DB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MCP transport/discovery</w:t>
            </w:r>
          </w:p>
        </w:tc>
        <w:tc>
          <w:tcPr>
            <w:tcW w:w="2948" w:type="dxa"/>
            <w:vAlign w:val="center"/>
          </w:tcPr>
          <w:p w14:paraId="3631A0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独立 prefix；受审 mcp config</w:t>
            </w:r>
          </w:p>
        </w:tc>
      </w:tr>
      <w:tr w14:paraId="72139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C0BB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pi-subagents</w:t>
            </w:r>
          </w:p>
        </w:tc>
        <w:tc>
          <w:tcPr>
            <w:tcW w:w="1361" w:type="dxa"/>
            <w:vAlign w:val="center"/>
          </w:tcPr>
          <w:p w14:paraId="3259C7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0.50.0</w:t>
            </w:r>
          </w:p>
        </w:tc>
        <w:tc>
          <w:tcPr>
            <w:tcW w:w="2835" w:type="dxa"/>
            <w:vAlign w:val="center"/>
          </w:tcPr>
          <w:p w14:paraId="22E72E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bounded specialist child sessions</w:t>
            </w:r>
          </w:p>
        </w:tc>
        <w:tc>
          <w:tcPr>
            <w:tcW w:w="2948" w:type="dxa"/>
            <w:vAlign w:val="center"/>
          </w:tcPr>
          <w:p w14:paraId="3317CB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必须能发现六个 agent 定义</w:t>
            </w:r>
          </w:p>
        </w:tc>
      </w:tr>
      <w:tr w14:paraId="1CC0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251E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pi-trace-extension</w:t>
            </w:r>
          </w:p>
        </w:tc>
        <w:tc>
          <w:tcPr>
            <w:tcW w:w="1361" w:type="dxa"/>
            <w:vAlign w:val="center"/>
          </w:tcPr>
          <w:p w14:paraId="2ACC76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0.1.14</w:t>
            </w:r>
          </w:p>
        </w:tc>
        <w:tc>
          <w:tcPr>
            <w:tcW w:w="2835" w:type="dxa"/>
            <w:vAlign w:val="center"/>
          </w:tcPr>
          <w:p w14:paraId="48E738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通用执行轨迹</w:t>
            </w:r>
          </w:p>
        </w:tc>
        <w:tc>
          <w:tcPr>
            <w:tcW w:w="2948" w:type="dxa"/>
            <w:vAlign w:val="center"/>
          </w:tcPr>
          <w:p w14:paraId="0438C8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版本精确一致</w:t>
            </w:r>
          </w:p>
        </w:tc>
      </w:tr>
    </w:tbl>
    <w:p w14:paraId="0984BB28">
      <w:pPr>
        <w:spacing w:after="20"/>
      </w:pPr>
    </w:p>
    <w:p w14:paraId="7271233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5.2 CLI 启动</w:t>
      </w:r>
    </w:p>
    <w:p w14:paraId="667A7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如果 npm workspace 已创建 pi bin 链接，可直接使用 pi；最确定的仓库内路径是构建后的 bundle CLI。两种方式都必须显式选择 sec 模式。</w:t>
      </w:r>
    </w:p>
    <w:p w14:paraId="36C95D1F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./node_modules/.bin/pi --agent-mode sec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或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node packages/coding-agent/dist/bundle/cli.js --agent-mode sec</w:t>
      </w:r>
    </w:p>
    <w:p w14:paraId="12B99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进入后先运行 /sec-doctor。若只是“CLI 能打开”但 runtime package、工具、workspace 或 isolation 不就绪，不能视为部署完成。</w:t>
      </w:r>
    </w:p>
    <w:p w14:paraId="5B30AF6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5.3 Web 生产启动</w:t>
      </w:r>
    </w:p>
    <w:p w14:paraId="0AA9D484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npm run start --workspace=@agegr/pi-web</w:t>
      </w:r>
    </w:p>
    <w:p w14:paraId="2BF03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Pi Web 默认监听 127.0.0.1:30141。创建新 Session 时必须选择 Sec，或新 Session API body 使用 agentMode:"sec"；默认值仍是 coding。</w:t>
      </w:r>
    </w:p>
    <w:p w14:paraId="1AD665E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5" w:name="_Toc17683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6. 安全工具部署：Catalog、Adapter 与二进制必须分别核对</w:t>
      </w:r>
      <w:bookmarkEnd w:id="5"/>
    </w:p>
    <w:p w14:paraId="278C8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部署时不能看到 Tool Catalog 中有名字就判断“工具已可用”。真实执行要求至少同时满足：Catalog 元数据存在、Registry 生成 audited adapter、系统二进制可发现、版本检查通过、Action Input Builder 能构造结构化输入（若用于 Autonomous）、scope/precondition 满足。</w:t>
      </w:r>
    </w:p>
    <w:p w14:paraId="6C31C5C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6.1 当前 audited adapters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3065"/>
        <w:gridCol w:w="2119"/>
        <w:gridCol w:w="3175"/>
      </w:tblGrid>
      <w:tr w14:paraId="3921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5" w:type="dxa"/>
            <w:shd w:val="clear" w:color="auto" w:fill="DCE6F1"/>
            <w:vAlign w:val="center"/>
          </w:tcPr>
          <w:p w14:paraId="7F7C1D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类别</w:t>
            </w:r>
          </w:p>
        </w:tc>
        <w:tc>
          <w:tcPr>
            <w:tcW w:w="3065" w:type="dxa"/>
            <w:shd w:val="clear" w:color="auto" w:fill="DCE6F1"/>
            <w:vAlign w:val="center"/>
          </w:tcPr>
          <w:p w14:paraId="2E05AF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当前 audited adapter</w:t>
            </w:r>
          </w:p>
        </w:tc>
        <w:tc>
          <w:tcPr>
            <w:tcW w:w="2119" w:type="dxa"/>
            <w:shd w:val="clear" w:color="auto" w:fill="DCE6F1"/>
            <w:vAlign w:val="center"/>
          </w:tcPr>
          <w:p w14:paraId="2F8334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Dockerfile 默认安装</w:t>
            </w:r>
          </w:p>
        </w:tc>
        <w:tc>
          <w:tcPr>
            <w:tcW w:w="3175" w:type="dxa"/>
            <w:shd w:val="clear" w:color="auto" w:fill="DCE6F1"/>
            <w:vAlign w:val="center"/>
          </w:tcPr>
          <w:p w14:paraId="13E37C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备注</w:t>
            </w:r>
          </w:p>
        </w:tc>
      </w:tr>
      <w:tr w14:paraId="3064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1505" w:type="dxa"/>
            <w:vAlign w:val="center"/>
          </w:tcPr>
          <w:p w14:paraId="382E3C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网络/HTTP</w:t>
            </w:r>
          </w:p>
        </w:tc>
        <w:tc>
          <w:tcPr>
            <w:tcW w:w="3065" w:type="dxa"/>
            <w:vAlign w:val="center"/>
          </w:tcPr>
          <w:p w14:paraId="177942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nmap, curl</w:t>
            </w:r>
          </w:p>
        </w:tc>
        <w:tc>
          <w:tcPr>
            <w:tcW w:w="2119" w:type="dxa"/>
            <w:vAlign w:val="center"/>
          </w:tcPr>
          <w:p w14:paraId="6A762B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是</w:t>
            </w:r>
          </w:p>
        </w:tc>
        <w:tc>
          <w:tcPr>
            <w:tcW w:w="3175" w:type="dxa"/>
            <w:vAlign w:val="center"/>
          </w:tcPr>
          <w:p w14:paraId="13AC01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基础网络/HTTP smoke 可用</w:t>
            </w:r>
          </w:p>
        </w:tc>
      </w:tr>
      <w:tr w14:paraId="42D53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505" w:type="dxa"/>
            <w:vAlign w:val="center"/>
          </w:tcPr>
          <w:p w14:paraId="024829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</w:t>
            </w:r>
          </w:p>
        </w:tc>
        <w:tc>
          <w:tcPr>
            <w:tcW w:w="3065" w:type="dxa"/>
            <w:vAlign w:val="center"/>
          </w:tcPr>
          <w:p w14:paraId="1BD87E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httpx, ffuf, nuclei</w:t>
            </w:r>
          </w:p>
        </w:tc>
        <w:tc>
          <w:tcPr>
            <w:tcW w:w="2119" w:type="dxa"/>
            <w:vAlign w:val="center"/>
          </w:tcPr>
          <w:p w14:paraId="4FAC52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  <w:tc>
          <w:tcPr>
            <w:tcW w:w="3175" w:type="dxa"/>
            <w:vAlign w:val="center"/>
          </w:tcPr>
          <w:p w14:paraId="15B3E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Registry/Autonomous 已接入，但当前镜像未安装二进制</w:t>
            </w:r>
          </w:p>
        </w:tc>
      </w:tr>
      <w:tr w14:paraId="5E34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vAlign w:val="center"/>
          </w:tcPr>
          <w:p w14:paraId="68B172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静态/逆向</w:t>
            </w:r>
          </w:p>
        </w:tc>
        <w:tc>
          <w:tcPr>
            <w:tcW w:w="3065" w:type="dxa"/>
            <w:vAlign w:val="center"/>
          </w:tcPr>
          <w:p w14:paraId="3B73E8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file, strings, readelf, objdump</w:t>
            </w:r>
          </w:p>
        </w:tc>
        <w:tc>
          <w:tcPr>
            <w:tcW w:w="2119" w:type="dxa"/>
            <w:vAlign w:val="center"/>
          </w:tcPr>
          <w:p w14:paraId="06B0F6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是</w:t>
            </w:r>
          </w:p>
        </w:tc>
        <w:tc>
          <w:tcPr>
            <w:tcW w:w="3175" w:type="dxa"/>
            <w:vAlign w:val="center"/>
          </w:tcPr>
          <w:p w14:paraId="4D26EB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strings/readelf/objdump 来自 binutils</w:t>
            </w:r>
          </w:p>
        </w:tc>
      </w:tr>
      <w:tr w14:paraId="3885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vAlign w:val="center"/>
          </w:tcPr>
          <w:p w14:paraId="4B51C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取证</w:t>
            </w:r>
          </w:p>
        </w:tc>
        <w:tc>
          <w:tcPr>
            <w:tcW w:w="3065" w:type="dxa"/>
            <w:vAlign w:val="center"/>
          </w:tcPr>
          <w:p w14:paraId="07585D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binwalk, exiftool</w:t>
            </w:r>
          </w:p>
        </w:tc>
        <w:tc>
          <w:tcPr>
            <w:tcW w:w="2119" w:type="dxa"/>
            <w:vAlign w:val="center"/>
          </w:tcPr>
          <w:p w14:paraId="381749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是</w:t>
            </w:r>
          </w:p>
        </w:tc>
        <w:tc>
          <w:tcPr>
            <w:tcW w:w="3175" w:type="dxa"/>
            <w:vAlign w:val="center"/>
          </w:tcPr>
          <w:p w14:paraId="5F4E51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Dockerfile 固定 Debian 包版本</w:t>
            </w:r>
          </w:p>
        </w:tc>
      </w:tr>
    </w:tbl>
    <w:p w14:paraId="4A88564E">
      <w:pPr>
        <w:spacing w:after="20"/>
      </w:pPr>
    </w:p>
    <w:p w14:paraId="1A90871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6.2 Dockerfile 固定的 Debian 工具版本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195"/>
      </w:tblGrid>
      <w:tr w14:paraId="0463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0F8525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工具/包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4E03B2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默认固定版本</w:t>
            </w:r>
          </w:p>
        </w:tc>
        <w:tc>
          <w:tcPr>
            <w:tcW w:w="4195" w:type="dxa"/>
            <w:shd w:val="clear" w:color="auto" w:fill="DCE6F1"/>
            <w:vAlign w:val="center"/>
          </w:tcPr>
          <w:p w14:paraId="2D9613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对应能力</w:t>
            </w:r>
          </w:p>
        </w:tc>
      </w:tr>
      <w:tr w14:paraId="38DF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4490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nmap</w:t>
            </w:r>
          </w:p>
        </w:tc>
        <w:tc>
          <w:tcPr>
            <w:tcW w:w="2835" w:type="dxa"/>
            <w:vAlign w:val="center"/>
          </w:tcPr>
          <w:p w14:paraId="6A5738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7.93+dfsg1-1</w:t>
            </w:r>
          </w:p>
        </w:tc>
        <w:tc>
          <w:tcPr>
            <w:tcW w:w="4195" w:type="dxa"/>
            <w:vAlign w:val="center"/>
          </w:tcPr>
          <w:p w14:paraId="01CEDD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端口/服务发现</w:t>
            </w:r>
          </w:p>
        </w:tc>
      </w:tr>
      <w:tr w14:paraId="73C4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3A85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curl</w:t>
            </w:r>
          </w:p>
        </w:tc>
        <w:tc>
          <w:tcPr>
            <w:tcW w:w="2835" w:type="dxa"/>
            <w:vAlign w:val="center"/>
          </w:tcPr>
          <w:p w14:paraId="28CD72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7.88.1-10+deb12u15</w:t>
            </w:r>
          </w:p>
        </w:tc>
        <w:tc>
          <w:tcPr>
            <w:tcW w:w="4195" w:type="dxa"/>
            <w:vAlign w:val="center"/>
          </w:tcPr>
          <w:p w14:paraId="025896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 请求</w:t>
            </w:r>
          </w:p>
        </w:tc>
      </w:tr>
      <w:tr w14:paraId="798E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26E4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file</w:t>
            </w:r>
          </w:p>
        </w:tc>
        <w:tc>
          <w:tcPr>
            <w:tcW w:w="2835" w:type="dxa"/>
            <w:vAlign w:val="center"/>
          </w:tcPr>
          <w:p w14:paraId="7918E1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1:5.44-3</w:t>
            </w:r>
          </w:p>
        </w:tc>
        <w:tc>
          <w:tcPr>
            <w:tcW w:w="4195" w:type="dxa"/>
            <w:vAlign w:val="center"/>
          </w:tcPr>
          <w:p w14:paraId="28D6A3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文件类型识别</w:t>
            </w:r>
          </w:p>
        </w:tc>
      </w:tr>
      <w:tr w14:paraId="64D5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72B1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binutils</w:t>
            </w:r>
          </w:p>
        </w:tc>
        <w:tc>
          <w:tcPr>
            <w:tcW w:w="2835" w:type="dxa"/>
            <w:vAlign w:val="center"/>
          </w:tcPr>
          <w:p w14:paraId="759C0B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2.40-2</w:t>
            </w:r>
          </w:p>
        </w:tc>
        <w:tc>
          <w:tcPr>
            <w:tcW w:w="4195" w:type="dxa"/>
            <w:vAlign w:val="center"/>
          </w:tcPr>
          <w:p w14:paraId="0F2DD6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strings/readelf/objdump</w:t>
            </w:r>
          </w:p>
        </w:tc>
      </w:tr>
      <w:tr w14:paraId="75C0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80B5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binwalk</w:t>
            </w:r>
          </w:p>
        </w:tc>
        <w:tc>
          <w:tcPr>
            <w:tcW w:w="2835" w:type="dxa"/>
            <w:vAlign w:val="center"/>
          </w:tcPr>
          <w:p w14:paraId="691335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2.3.4+dfsg1-1</w:t>
            </w:r>
          </w:p>
        </w:tc>
        <w:tc>
          <w:tcPr>
            <w:tcW w:w="4195" w:type="dxa"/>
            <w:vAlign w:val="center"/>
          </w:tcPr>
          <w:p w14:paraId="5C907B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嵌入签名扫描</w:t>
            </w:r>
          </w:p>
        </w:tc>
      </w:tr>
      <w:tr w14:paraId="2F29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4A75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libimage-exiftool-perl</w:t>
            </w:r>
          </w:p>
        </w:tc>
        <w:tc>
          <w:tcPr>
            <w:tcW w:w="2835" w:type="dxa"/>
            <w:vAlign w:val="center"/>
          </w:tcPr>
          <w:p w14:paraId="328256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12.57+dfsg-1</w:t>
            </w:r>
          </w:p>
        </w:tc>
        <w:tc>
          <w:tcPr>
            <w:tcW w:w="4195" w:type="dxa"/>
            <w:vAlign w:val="center"/>
          </w:tcPr>
          <w:p w14:paraId="6D5F4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元数据读取</w:t>
            </w:r>
          </w:p>
        </w:tc>
      </w:tr>
      <w:tr w14:paraId="6BB69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B1D1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gcc</w:t>
            </w:r>
          </w:p>
        </w:tc>
        <w:tc>
          <w:tcPr>
            <w:tcW w:w="2835" w:type="dxa"/>
            <w:vAlign w:val="center"/>
          </w:tcPr>
          <w:p w14:paraId="4DC6F7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未锁定版本</w:t>
            </w:r>
          </w:p>
        </w:tc>
        <w:tc>
          <w:tcPr>
            <w:tcW w:w="4195" w:type="dxa"/>
            <w:vAlign w:val="center"/>
          </w:tcPr>
          <w:p w14:paraId="078973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仅构建本地 fixture；也是运行镜像额外攻击面</w:t>
            </w:r>
          </w:p>
        </w:tc>
      </w:tr>
    </w:tbl>
    <w:p w14:paraId="70F28AF4">
      <w:pPr>
        <w:spacing w:after="20"/>
      </w:pPr>
    </w:p>
    <w:p w14:paraId="501C6A7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6.3 补齐 Web 工具的原则</w:t>
      </w:r>
    </w:p>
    <w:p w14:paraId="1EA0A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若比赛演示需要 httpx/ffuf/nuclei，应在最终镜像中选择明确版本并记录来源/许可证/摘要，或把受审工具目录只读挂载后显式加入 PATH。当前 Compose 只挂载 /opt/security-tools，但未在模板中修改 PATH，因此仅“把二进制放进该目录”并不足以保证 Adapter 能发现它。</w:t>
      </w:r>
    </w:p>
    <w:p w14:paraId="4713D0E0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command -v nmap curl file strings readelf objdump binwalk exiftool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command -v httpx ffuf nuclei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每个工具记录首行版本输出和绝对路径</w:t>
      </w:r>
    </w:p>
    <w:p w14:paraId="20ED479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6" w:name="_Toc4748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7. /sec-doctor 与 readiness 的正确解释</w:t>
      </w:r>
      <w:bookmarkEnd w:id="6"/>
    </w:p>
    <w:p w14:paraId="06C0E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runSecAgentDiagnostics 会检查模型连通性提示、AI 网关变量、隔离状态、六个专业 Agent、四个 runtime package、workspace/temp/report 可写性以及已注册 Adapter 对应工具。模型连通性故意不主动发请求，因此诊断不会产生模型费用。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4139"/>
        <w:gridCol w:w="3515"/>
      </w:tblGrid>
      <w:tr w14:paraId="2CC4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DCE6F1"/>
            <w:vAlign w:val="center"/>
          </w:tcPr>
          <w:p w14:paraId="368EA4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字段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2F6492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代码计算方式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75F56F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不能推出什么</w:t>
            </w:r>
          </w:p>
        </w:tc>
      </w:tr>
      <w:tr w14:paraId="5283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2B693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ready/runtimeReady</w:t>
            </w:r>
          </w:p>
        </w:tc>
        <w:tc>
          <w:tcPr>
            <w:tcW w:w="4139" w:type="dxa"/>
            <w:vAlign w:val="center"/>
          </w:tcPr>
          <w:p w14:paraId="1D3544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所有 checks 都不是 fail；warn 仍允许</w:t>
            </w:r>
          </w:p>
        </w:tc>
        <w:tc>
          <w:tcPr>
            <w:tcW w:w="3515" w:type="dxa"/>
            <w:vAlign w:val="center"/>
          </w:tcPr>
          <w:p w14:paraId="1A92D0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不能证明模型可调用，也不能证明所有 Web 工具存在</w:t>
            </w:r>
          </w:p>
        </w:tc>
      </w:tr>
      <w:tr w14:paraId="11AE5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2D45F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autonomousReady</w:t>
            </w:r>
          </w:p>
        </w:tc>
        <w:tc>
          <w:tcPr>
            <w:tcW w:w="4139" w:type="dxa"/>
            <w:vAlign w:val="center"/>
          </w:tcPr>
          <w:p w14:paraId="786374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runtimeReady + 4 runtime package 全 pass + isolation 非 unverified</w:t>
            </w:r>
          </w:p>
        </w:tc>
        <w:tc>
          <w:tcPr>
            <w:tcW w:w="3515" w:type="dxa"/>
            <w:vAlign w:val="center"/>
          </w:tcPr>
          <w:p w14:paraId="000DE7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不能证明 Provider/AI gateway 真实可达</w:t>
            </w:r>
          </w:p>
        </w:tc>
      </w:tr>
      <w:tr w14:paraId="6FF5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D1F76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demoReady</w:t>
            </w:r>
          </w:p>
        </w:tc>
        <w:tc>
          <w:tcPr>
            <w:tcW w:w="4139" w:type="dxa"/>
            <w:vAlign w:val="center"/>
          </w:tcPr>
          <w:p w14:paraId="1EB5CB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runtimeReady + runtime packages + 8 个 required demo tools + isolation</w:t>
            </w:r>
          </w:p>
        </w:tc>
        <w:tc>
          <w:tcPr>
            <w:tcW w:w="3515" w:type="dxa"/>
            <w:vAlign w:val="center"/>
          </w:tcPr>
          <w:p w14:paraId="3AB7FE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不能证明 httpx/ffuf/nuclei 可用；不能证明在线地址/HTTPS 正常</w:t>
            </w:r>
          </w:p>
        </w:tc>
      </w:tr>
      <w:tr w14:paraId="5FD5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44732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model-connectivity</w:t>
            </w:r>
          </w:p>
        </w:tc>
        <w:tc>
          <w:tcPr>
            <w:tcW w:w="4139" w:type="dxa"/>
            <w:vAlign w:val="center"/>
          </w:tcPr>
          <w:p w14:paraId="0095C2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固定 warn，未主动探测</w:t>
            </w:r>
          </w:p>
        </w:tc>
        <w:tc>
          <w:tcPr>
            <w:tcW w:w="3515" w:type="dxa"/>
            <w:vAlign w:val="center"/>
          </w:tcPr>
          <w:p w14:paraId="5EEE5A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不是失败，但必须另做模型 smoke</w:t>
            </w:r>
          </w:p>
        </w:tc>
      </w:tr>
      <w:tr w14:paraId="7979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85F8B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ai-gateway</w:t>
            </w:r>
          </w:p>
        </w:tc>
        <w:tc>
          <w:tcPr>
            <w:tcW w:w="4139" w:type="dxa"/>
            <w:vAlign w:val="center"/>
          </w:tcPr>
          <w:p w14:paraId="1D2EB0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PI_AI_GATEWAY_URL 或 AI_GATEWAY_URL 存在即 pass</w:t>
            </w:r>
          </w:p>
        </w:tc>
        <w:tc>
          <w:tcPr>
            <w:tcW w:w="3515" w:type="dxa"/>
            <w:vAlign w:val="center"/>
          </w:tcPr>
          <w:p w14:paraId="0B1E47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只是变量存在，不验证 DNS/TLS/鉴权/协议</w:t>
            </w:r>
          </w:p>
        </w:tc>
      </w:tr>
    </w:tbl>
    <w:p w14:paraId="7BBF189E">
      <w:pPr>
        <w:spacing w:after="20"/>
      </w:pPr>
    </w:p>
    <w:p w14:paraId="0D094289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# CLI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/sec-doctor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Web / Profile API 等价入口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POST /api/agent/&lt;id&gt;/profile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{"type":"run_diagnostics"}</w:t>
      </w:r>
    </w:p>
    <w:p w14:paraId="5A9249A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7" w:name="_Toc5530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8. 模型 Provider、AI 安全网关与代理配置</w:t>
      </w:r>
      <w:bookmarkEnd w:id="7"/>
    </w:p>
    <w:p w14:paraId="0C7B863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8.1 原生部署</w:t>
      </w:r>
    </w:p>
    <w:p w14:paraId="4FD86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仓库支持 PI_AI_GATEWAY_URL 或 AI_GATEWAY_URL 作为通用网关地址提示；具体 Provider、模型 ID 与 API Key 仍由 Pi 的模型/凭据配置管理。终审应以主办方指定 AI 安全网关和报备的国内备案模型服务为准。</w:t>
      </w:r>
    </w:p>
    <w:p w14:paraId="5E13CF2D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export PI_AI_GATEWAY_URL='https://&lt;organizer-gateway&gt;/v1'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凭据通过 Pi 配置或受控 Secret 注入，严禁写入仓库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node packages/coding-agent/dist/bundle/cli.js --agent-mode sec</w:t>
      </w:r>
    </w:p>
    <w:p w14:paraId="027FBC2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8.2 Pi Web 远程访问配置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1"/>
        <w:gridCol w:w="2082"/>
        <w:gridCol w:w="3076"/>
      </w:tblGrid>
      <w:tr w14:paraId="507D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DCE6F1"/>
            <w:vAlign w:val="center"/>
          </w:tcPr>
          <w:p w14:paraId="7D53CF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变量/参数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368249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作用</w:t>
            </w:r>
          </w:p>
        </w:tc>
        <w:tc>
          <w:tcPr>
            <w:tcW w:w="4309" w:type="dxa"/>
            <w:shd w:val="clear" w:color="auto" w:fill="DCE6F1"/>
            <w:vAlign w:val="center"/>
          </w:tcPr>
          <w:p w14:paraId="0C9DD6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安全要求</w:t>
            </w:r>
          </w:p>
        </w:tc>
      </w:tr>
      <w:tr w14:paraId="2A4B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3DD71E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PORT / --port</w:t>
            </w:r>
          </w:p>
        </w:tc>
        <w:tc>
          <w:tcPr>
            <w:tcW w:w="2835" w:type="dxa"/>
            <w:vAlign w:val="center"/>
          </w:tcPr>
          <w:p w14:paraId="0A21E4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服务端口，默认 30141</w:t>
            </w:r>
          </w:p>
        </w:tc>
        <w:tc>
          <w:tcPr>
            <w:tcW w:w="4309" w:type="dxa"/>
            <w:vAlign w:val="center"/>
          </w:tcPr>
          <w:p w14:paraId="6F682E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反代后保持内部端口即可</w:t>
            </w:r>
          </w:p>
        </w:tc>
      </w:tr>
      <w:tr w14:paraId="7998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34F7E1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PI_WEB_HOSTNAME / -H</w:t>
            </w:r>
          </w:p>
        </w:tc>
        <w:tc>
          <w:tcPr>
            <w:tcW w:w="2835" w:type="dxa"/>
            <w:vAlign w:val="center"/>
          </w:tcPr>
          <w:p w14:paraId="44FF26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监听地址，默认 127.0.0.1</w:t>
            </w:r>
          </w:p>
        </w:tc>
        <w:tc>
          <w:tcPr>
            <w:tcW w:w="4309" w:type="dxa"/>
            <w:vAlign w:val="center"/>
          </w:tcPr>
          <w:p w14:paraId="7AD4A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非回环即扩大攻击面</w:t>
            </w:r>
          </w:p>
        </w:tc>
      </w:tr>
      <w:tr w14:paraId="4676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524960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PI_WEB_PASSWORD</w:t>
            </w:r>
          </w:p>
        </w:tc>
        <w:tc>
          <w:tcPr>
            <w:tcW w:w="2835" w:type="dxa"/>
            <w:vAlign w:val="center"/>
          </w:tcPr>
          <w:p w14:paraId="3353D1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启用 Basic Auth，用户名固定 pi</w:t>
            </w:r>
          </w:p>
        </w:tc>
        <w:tc>
          <w:tcPr>
            <w:tcW w:w="4309" w:type="dxa"/>
            <w:vAlign w:val="center"/>
          </w:tcPr>
          <w:p w14:paraId="4417C2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只做认证，不提供 TLS；公网必须 HTTPS/VPN</w:t>
            </w:r>
          </w:p>
        </w:tc>
      </w:tr>
      <w:tr w14:paraId="09C5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24AD22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PI_WEB_ALLOWED_HOSTS</w:t>
            </w:r>
          </w:p>
        </w:tc>
        <w:tc>
          <w:tcPr>
            <w:tcW w:w="2835" w:type="dxa"/>
            <w:vAlign w:val="center"/>
          </w:tcPr>
          <w:p w14:paraId="719039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额外允许代理 Host，逗号分隔精确匹配</w:t>
            </w:r>
          </w:p>
        </w:tc>
        <w:tc>
          <w:tcPr>
            <w:tcW w:w="4309" w:type="dxa"/>
            <w:vAlign w:val="center"/>
          </w:tcPr>
          <w:p w14:paraId="78D4D9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按实际域名最小配置</w:t>
            </w:r>
          </w:p>
        </w:tc>
      </w:tr>
      <w:tr w14:paraId="36EA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025043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HTTP_PROXY/HTTPS_PROXY/NO_PROXY</w:t>
            </w:r>
          </w:p>
        </w:tc>
        <w:tc>
          <w:tcPr>
            <w:tcW w:w="2835" w:type="dxa"/>
            <w:vAlign w:val="center"/>
          </w:tcPr>
          <w:p w14:paraId="41CE1A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服务端模型/API 代理</w:t>
            </w:r>
          </w:p>
        </w:tc>
        <w:tc>
          <w:tcPr>
            <w:tcW w:w="4309" w:type="dxa"/>
            <w:vAlign w:val="center"/>
          </w:tcPr>
          <w:p w14:paraId="25DBF4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代理本身需受信；NO_PROXY 配 loopback/内部域</w:t>
            </w:r>
          </w:p>
        </w:tc>
      </w:tr>
    </w:tbl>
    <w:p w14:paraId="4184523A">
      <w:pPr>
        <w:spacing w:after="20"/>
      </w:pPr>
    </w:p>
    <w:p w14:paraId="5D2CDFE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8.3 当前 Compose 的关键限制</w:t>
      </w:r>
    </w:p>
    <w:p w14:paraId="71378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 docker-compose.yml 的所有服务只加入 secagent-internal，且该 network 设置 internal:true。这适合 fixture 验收，但通常意味着没有外部 egress；同时 Compose 的 environment 仅传 PI_OFFLINE。因此直接启动当前 Web 容器，不能假设它会继承宿主 PI_AI_GATEWAY_URL、API Key 或 PI_WEB_PASSWORD。</w:t>
      </w:r>
    </w:p>
    <w:p w14:paraId="5D99671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8" w:name="_Toc26164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9. Docker 镜像：当前构建链与硬化要求</w:t>
      </w:r>
      <w:bookmarkEnd w:id="8"/>
    </w:p>
    <w:p w14:paraId="664969ED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989320" cy="3562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6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6D38">
      <w:pPr>
        <w:pStyle w:val="167"/>
      </w:pPr>
      <w:r>
        <w:rPr>
          <w:rFonts w:ascii="Times New Roman" w:hAnsi="Times New Roman" w:eastAsia="宋体" w:cs="Times New Roman"/>
        </w:rPr>
        <w:t>图 3  当前 Dockerfile 的镜像构建链</w:t>
      </w:r>
    </w:p>
    <w:p w14:paraId="28D6330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9.1 当前镜像构建命令</w:t>
      </w:r>
    </w:p>
    <w:p w14:paraId="3148925E">
      <w:pPr>
        <w:pStyle w:val="165"/>
        <w:shd w:val="clear" w:fill="DCD8C2" w:themeFill="background2" w:themeFillShade="E5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docker build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-f packages/secagent/templates/Dockerfile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-t pi-secagent:competition .</w:t>
      </w:r>
    </w:p>
    <w:p w14:paraId="5C0A1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Compose 构建还启用了 build network: host 与 entitlements: network.host，用于构建阶段访问审查过的 APT/npm 源。运行时并不继承该 host network。</w:t>
      </w:r>
    </w:p>
    <w:p w14:paraId="1C303A5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9.2 可配置构建参数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7"/>
        <w:gridCol w:w="3069"/>
        <w:gridCol w:w="2063"/>
      </w:tblGrid>
      <w:tr w14:paraId="5C2E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5" w:type="dxa"/>
            <w:shd w:val="clear" w:color="auto" w:fill="DCE6F1"/>
            <w:vAlign w:val="center"/>
          </w:tcPr>
          <w:p w14:paraId="3906A1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变量/ARG</w:t>
            </w:r>
          </w:p>
        </w:tc>
        <w:tc>
          <w:tcPr>
            <w:tcW w:w="3175" w:type="dxa"/>
            <w:shd w:val="clear" w:color="auto" w:fill="DCE6F1"/>
            <w:vAlign w:val="center"/>
          </w:tcPr>
          <w:p w14:paraId="0589FE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默认值</w:t>
            </w:r>
          </w:p>
        </w:tc>
        <w:tc>
          <w:tcPr>
            <w:tcW w:w="3231" w:type="dxa"/>
            <w:shd w:val="clear" w:color="auto" w:fill="DCE6F1"/>
            <w:vAlign w:val="center"/>
          </w:tcPr>
          <w:p w14:paraId="7313C7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用途</w:t>
            </w:r>
          </w:p>
        </w:tc>
      </w:tr>
      <w:tr w14:paraId="6A0D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vAlign w:val="center"/>
          </w:tcPr>
          <w:p w14:paraId="751B68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SECAGENT_BASE_IMAGE / BASE_IMAGE</w:t>
            </w:r>
          </w:p>
        </w:tc>
        <w:tc>
          <w:tcPr>
            <w:tcW w:w="3175" w:type="dxa"/>
            <w:vAlign w:val="center"/>
          </w:tcPr>
          <w:p w14:paraId="0D9EBF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node:22-bookworm-slim</w:t>
            </w:r>
          </w:p>
        </w:tc>
        <w:tc>
          <w:tcPr>
            <w:tcW w:w="3231" w:type="dxa"/>
            <w:vAlign w:val="center"/>
          </w:tcPr>
          <w:p w14:paraId="5509DD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必须保持 Node 22 + Debian compatible</w:t>
            </w:r>
          </w:p>
        </w:tc>
      </w:tr>
      <w:tr w14:paraId="1167C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vAlign w:val="center"/>
          </w:tcPr>
          <w:p w14:paraId="5CCDBE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SECAGENT_DEBIAN_MIRROR</w:t>
            </w:r>
          </w:p>
        </w:tc>
        <w:tc>
          <w:tcPr>
            <w:tcW w:w="3175" w:type="dxa"/>
            <w:vAlign w:val="center"/>
          </w:tcPr>
          <w:p w14:paraId="5C3E55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http://deb.debian.org/debian</w:t>
            </w:r>
          </w:p>
        </w:tc>
        <w:tc>
          <w:tcPr>
            <w:tcW w:w="3231" w:type="dxa"/>
            <w:vAlign w:val="center"/>
          </w:tcPr>
          <w:p w14:paraId="02C944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APT 主仓库</w:t>
            </w:r>
          </w:p>
        </w:tc>
      </w:tr>
      <w:tr w14:paraId="2D14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vAlign w:val="center"/>
          </w:tcPr>
          <w:p w14:paraId="2B75F2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SECAGENT_DEBIAN_SECURITY_MIRROR</w:t>
            </w:r>
          </w:p>
        </w:tc>
        <w:tc>
          <w:tcPr>
            <w:tcW w:w="3175" w:type="dxa"/>
            <w:vAlign w:val="center"/>
          </w:tcPr>
          <w:p w14:paraId="1DB6A0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http://deb.debian.org/debian-security</w:t>
            </w:r>
          </w:p>
        </w:tc>
        <w:tc>
          <w:tcPr>
            <w:tcW w:w="3231" w:type="dxa"/>
            <w:vAlign w:val="center"/>
          </w:tcPr>
          <w:p w14:paraId="3CA013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APT 安全仓库</w:t>
            </w:r>
          </w:p>
        </w:tc>
      </w:tr>
      <w:tr w14:paraId="0176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vAlign w:val="center"/>
          </w:tcPr>
          <w:p w14:paraId="12A0ED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SECAGENT_NPM_REGISTRY</w:t>
            </w:r>
          </w:p>
        </w:tc>
        <w:tc>
          <w:tcPr>
            <w:tcW w:w="3175" w:type="dxa"/>
            <w:vAlign w:val="center"/>
          </w:tcPr>
          <w:p w14:paraId="73609D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https://registry.npmjs.org</w:t>
            </w:r>
          </w:p>
        </w:tc>
        <w:tc>
          <w:tcPr>
            <w:tcW w:w="3231" w:type="dxa"/>
            <w:vAlign w:val="center"/>
          </w:tcPr>
          <w:p w14:paraId="650513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root + runtime package 安装源</w:t>
            </w:r>
          </w:p>
        </w:tc>
      </w:tr>
      <w:tr w14:paraId="59B7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vAlign w:val="center"/>
          </w:tcPr>
          <w:p w14:paraId="02D414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NMAP_VERSION 等</w:t>
            </w:r>
          </w:p>
        </w:tc>
        <w:tc>
          <w:tcPr>
            <w:tcW w:w="3175" w:type="dxa"/>
            <w:vAlign w:val="center"/>
          </w:tcPr>
          <w:p w14:paraId="10D19E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Dockerfile 固定值</w:t>
            </w:r>
          </w:p>
        </w:tc>
        <w:tc>
          <w:tcPr>
            <w:tcW w:w="3231" w:type="dxa"/>
            <w:vAlign w:val="center"/>
          </w:tcPr>
          <w:p w14:paraId="71EFB7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不应为“能构建”而取消版本锁定</w:t>
            </w:r>
          </w:p>
        </w:tc>
      </w:tr>
    </w:tbl>
    <w:p w14:paraId="2BB43B6F">
      <w:pPr>
        <w:spacing w:after="20"/>
      </w:pPr>
    </w:p>
    <w:p w14:paraId="6952CBDD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SECAGENT_DEBIAN_MIRROR=https://&lt;reviewed-mirror&gt;/debian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SECAGENT_DEBIAN_SECURITY_MIRROR=https://&lt;reviewed-mirror&gt;/debian-security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SECAGENT_NPM_REGISTRY=https://&lt;reviewed-npm&gt;/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docker compose -f packages/secagent/templates/docker-compose.yml build</w:t>
      </w:r>
    </w:p>
    <w:p w14:paraId="28551C2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9.3 当前构建失败语义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139"/>
        <w:gridCol w:w="4025"/>
      </w:tblGrid>
      <w:tr w14:paraId="0A13A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72F813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退出码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49013A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Dockerfile 含义</w:t>
            </w:r>
          </w:p>
        </w:tc>
        <w:tc>
          <w:tcPr>
            <w:tcW w:w="4025" w:type="dxa"/>
            <w:shd w:val="clear" w:color="auto" w:fill="DCE6F1"/>
            <w:vAlign w:val="center"/>
          </w:tcPr>
          <w:p w14:paraId="4AED3F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排查方向</w:t>
            </w:r>
          </w:p>
        </w:tc>
      </w:tr>
      <w:tr w14:paraId="5855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93AD6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41</w:t>
            </w:r>
          </w:p>
        </w:tc>
        <w:tc>
          <w:tcPr>
            <w:tcW w:w="4139" w:type="dxa"/>
            <w:vAlign w:val="center"/>
          </w:tcPr>
          <w:p w14:paraId="46CD45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Debian package indexes 下载失败</w:t>
            </w:r>
          </w:p>
        </w:tc>
        <w:tc>
          <w:tcPr>
            <w:tcW w:w="4025" w:type="dxa"/>
            <w:vAlign w:val="center"/>
          </w:tcPr>
          <w:p w14:paraId="42A846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DNS/代理/镜像可用性/BuildKit host network</w:t>
            </w:r>
          </w:p>
        </w:tc>
      </w:tr>
      <w:tr w14:paraId="7D57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E38DD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42</w:t>
            </w:r>
          </w:p>
        </w:tc>
        <w:tc>
          <w:tcPr>
            <w:tcW w:w="4139" w:type="dxa"/>
            <w:vAlign w:val="center"/>
          </w:tcPr>
          <w:p w14:paraId="2401B6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固定 Debian 包版本不可安装</w:t>
            </w:r>
          </w:p>
        </w:tc>
        <w:tc>
          <w:tcPr>
            <w:tcW w:w="4025" w:type="dxa"/>
            <w:vAlign w:val="center"/>
          </w:tcPr>
          <w:p w14:paraId="435BE5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基础镜像分发版与版本锁不匹配，或包下载失败</w:t>
            </w:r>
          </w:p>
        </w:tc>
      </w:tr>
      <w:tr w14:paraId="0306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DD55D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43</w:t>
            </w:r>
          </w:p>
        </w:tc>
        <w:tc>
          <w:tcPr>
            <w:tcW w:w="4139" w:type="dxa"/>
            <w:vAlign w:val="center"/>
          </w:tcPr>
          <w:p w14:paraId="6957E7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root npm ci 失败</w:t>
            </w:r>
          </w:p>
        </w:tc>
        <w:tc>
          <w:tcPr>
            <w:tcW w:w="4025" w:type="dxa"/>
            <w:vAlign w:val="center"/>
          </w:tcPr>
          <w:p w14:paraId="74DD78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lockfile/registry/cache/网络</w:t>
            </w:r>
          </w:p>
        </w:tc>
      </w:tr>
      <w:tr w14:paraId="3FF3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CDDEA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44</w:t>
            </w:r>
          </w:p>
        </w:tc>
        <w:tc>
          <w:tcPr>
            <w:tcW w:w="4139" w:type="dxa"/>
            <w:vAlign w:val="center"/>
          </w:tcPr>
          <w:p w14:paraId="178C1A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 个 pinned Sec runtime packages 安装失败</w:t>
            </w:r>
          </w:p>
        </w:tc>
        <w:tc>
          <w:tcPr>
            <w:tcW w:w="4025" w:type="dxa"/>
            <w:vAlign w:val="center"/>
          </w:tcPr>
          <w:p w14:paraId="2205A6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 mirror/cache 或精确版本缺失</w:t>
            </w:r>
          </w:p>
        </w:tc>
      </w:tr>
    </w:tbl>
    <w:p w14:paraId="1DA135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4"/>
          <w:szCs w:val="21"/>
          <w:lang w:val="en-US" w:eastAsia="zh-CN" w:bidi="ar-SA"/>
        </w:rPr>
      </w:pPr>
    </w:p>
    <w:p w14:paraId="585479D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9.4 发布硬化建议</w:t>
      </w:r>
    </w:p>
    <w:p w14:paraId="01BACEA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在 .dockerignore 增加 .env、.env.*、*.pem、*.key、*.p12、*.pfx 等秘密模式；最终从 clean checkout 构建。</w:t>
      </w:r>
    </w:p>
    <w:p w14:paraId="59CDE45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改为 multi-stage：builder 负责 npm/gcc/Next build；runtime 只复制 dist、Web 产物、agent/templates、必要工具和 fixture 结果。</w:t>
      </w:r>
    </w:p>
    <w:p w14:paraId="65873EB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创建专用非 root 用户；配合 workspace/report volume 的 UID/GID。</w:t>
      </w:r>
    </w:p>
    <w:p w14:paraId="535D2E4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固定最终基础镜像 digest；如果使用内部镜像，记录同步时间、上游来源和摘要。</w:t>
      </w:r>
    </w:p>
    <w:p w14:paraId="75CF832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对新增 httpx/ffuf/nuclei 固定版本、来源和许可证，并纳入 inventory/real-tool smoke。</w:t>
      </w:r>
    </w:p>
    <w:p w14:paraId="3022693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9" w:name="_Toc21129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10. Docker Compose：受控验收拓扑</w:t>
      </w:r>
      <w:bookmarkEnd w:id="9"/>
    </w:p>
    <w:p w14:paraId="5EA556F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10.1 服务与安全属性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939"/>
        <w:gridCol w:w="2945"/>
        <w:gridCol w:w="3766"/>
        <w:gridCol w:w="1173"/>
      </w:tblGrid>
      <w:tr w14:paraId="1DA3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66" w:type="dxa"/>
            <w:shd w:val="clear" w:color="auto" w:fill="DCE6F1"/>
            <w:vAlign w:val="center"/>
          </w:tcPr>
          <w:p w14:paraId="752ACF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服务</w:t>
            </w:r>
          </w:p>
        </w:tc>
        <w:tc>
          <w:tcPr>
            <w:tcW w:w="939" w:type="dxa"/>
            <w:shd w:val="clear" w:color="auto" w:fill="DCE6F1"/>
            <w:vAlign w:val="center"/>
          </w:tcPr>
          <w:p w14:paraId="2B1999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用途</w:t>
            </w:r>
          </w:p>
        </w:tc>
        <w:tc>
          <w:tcPr>
            <w:tcW w:w="2945" w:type="dxa"/>
            <w:shd w:val="clear" w:color="auto" w:fill="DCE6F1"/>
            <w:vAlign w:val="center"/>
          </w:tcPr>
          <w:p w14:paraId="2EA480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主机端口</w:t>
            </w:r>
          </w:p>
        </w:tc>
        <w:tc>
          <w:tcPr>
            <w:tcW w:w="3766" w:type="dxa"/>
            <w:shd w:val="clear" w:color="auto" w:fill="DCE6F1"/>
            <w:vAlign w:val="center"/>
          </w:tcPr>
          <w:p w14:paraId="2B740C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持久化/挂载</w:t>
            </w:r>
          </w:p>
        </w:tc>
        <w:tc>
          <w:tcPr>
            <w:tcW w:w="1173" w:type="dxa"/>
            <w:shd w:val="clear" w:color="auto" w:fill="DCE6F1"/>
            <w:vAlign w:val="center"/>
          </w:tcPr>
          <w:p w14:paraId="28D4D0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网络</w:t>
            </w:r>
          </w:p>
        </w:tc>
      </w:tr>
      <w:tr w14:paraId="4A40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6" w:type="dxa"/>
            <w:vAlign w:val="center"/>
          </w:tcPr>
          <w:p w14:paraId="583F9D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pi-secagent</w:t>
            </w:r>
          </w:p>
        </w:tc>
        <w:tc>
          <w:tcPr>
            <w:tcW w:w="939" w:type="dxa"/>
            <w:vAlign w:val="center"/>
          </w:tcPr>
          <w:p w14:paraId="0853C2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默认 CLI</w:t>
            </w:r>
          </w:p>
        </w:tc>
        <w:tc>
          <w:tcPr>
            <w:tcW w:w="2945" w:type="dxa"/>
            <w:vAlign w:val="center"/>
          </w:tcPr>
          <w:p w14:paraId="4FD544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无</w:t>
            </w:r>
          </w:p>
        </w:tc>
        <w:tc>
          <w:tcPr>
            <w:tcW w:w="3766" w:type="dxa"/>
            <w:vAlign w:val="center"/>
          </w:tcPr>
          <w:p w14:paraId="23E714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anchor workspace:rw + tools:ro；HOME 在 /tmp tmpfs</w:t>
            </w:r>
          </w:p>
        </w:tc>
        <w:tc>
          <w:tcPr>
            <w:tcW w:w="1173" w:type="dxa"/>
            <w:vAlign w:val="center"/>
          </w:tcPr>
          <w:p w14:paraId="344DBA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secagent-internal</w:t>
            </w:r>
          </w:p>
        </w:tc>
      </w:tr>
      <w:tr w14:paraId="1287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6" w:type="dxa"/>
            <w:vAlign w:val="center"/>
          </w:tcPr>
          <w:p w14:paraId="060412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pi-secagent-web</w:t>
            </w:r>
          </w:p>
        </w:tc>
        <w:tc>
          <w:tcPr>
            <w:tcW w:w="939" w:type="dxa"/>
            <w:vAlign w:val="center"/>
          </w:tcPr>
          <w:p w14:paraId="173CB4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生产 Web</w:t>
            </w:r>
          </w:p>
        </w:tc>
        <w:tc>
          <w:tcPr>
            <w:tcW w:w="2945" w:type="dxa"/>
            <w:vAlign w:val="center"/>
          </w:tcPr>
          <w:p w14:paraId="4F9726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127.0.0.1:${SECAGENT_WEB_PORT}:30141</w:t>
            </w:r>
          </w:p>
        </w:tc>
        <w:tc>
          <w:tcPr>
            <w:tcW w:w="3766" w:type="dxa"/>
            <w:vAlign w:val="center"/>
          </w:tcPr>
          <w:p w14:paraId="49FD85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显式 secagent-home volume；需核对 workspace/tools 是否被覆盖</w:t>
            </w:r>
          </w:p>
        </w:tc>
        <w:tc>
          <w:tcPr>
            <w:tcW w:w="1173" w:type="dxa"/>
            <w:vAlign w:val="center"/>
          </w:tcPr>
          <w:p w14:paraId="54FE05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secagent-internal</w:t>
            </w:r>
          </w:p>
        </w:tc>
      </w:tr>
      <w:tr w14:paraId="28BF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6" w:type="dxa"/>
            <w:vAlign w:val="center"/>
          </w:tcPr>
          <w:p w14:paraId="158A5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fixture-web</w:t>
            </w:r>
          </w:p>
        </w:tc>
        <w:tc>
          <w:tcPr>
            <w:tcW w:w="939" w:type="dxa"/>
            <w:vAlign w:val="center"/>
          </w:tcPr>
          <w:p w14:paraId="5F022B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受控 HTTP fixture</w:t>
            </w:r>
          </w:p>
        </w:tc>
        <w:tc>
          <w:tcPr>
            <w:tcW w:w="2945" w:type="dxa"/>
            <w:vAlign w:val="center"/>
          </w:tcPr>
          <w:p w14:paraId="0058F9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无</w:t>
            </w:r>
          </w:p>
        </w:tc>
        <w:tc>
          <w:tcPr>
            <w:tcW w:w="3766" w:type="dxa"/>
            <w:vAlign w:val="center"/>
          </w:tcPr>
          <w:p w14:paraId="555448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镜像内 fixture 源</w:t>
            </w:r>
          </w:p>
        </w:tc>
        <w:tc>
          <w:tcPr>
            <w:tcW w:w="1173" w:type="dxa"/>
            <w:vAlign w:val="center"/>
          </w:tcPr>
          <w:p w14:paraId="178607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secagent-internal</w:t>
            </w:r>
          </w:p>
        </w:tc>
      </w:tr>
    </w:tbl>
    <w:p w14:paraId="0F76D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33190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通用 anchor 设置 read_only:true、/tmp tmpfs 512MB、no-new-privileges:true、cap_drop:ALL，并挂载 workspace:rw 和 tools:ro。网络 secagent-internal 设置 internal:true。</w:t>
      </w:r>
    </w:p>
    <w:p w14:paraId="15AE14D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10.2 先执行 merged config 审查</w:t>
      </w:r>
    </w:p>
    <w:p w14:paraId="3C5352D2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docker compose -f packages/secagent/templates/docker-compose.yml config &gt; /tmp/secagent-compose.resolved.yml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人工检查 pi-secagent-web 的 volumes / networks / environment / ports</w:t>
      </w:r>
    </w:p>
    <w:p w14:paraId="6AE7A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YAML merge 对映射键采用“子节点同名键覆盖父节点”的语义；pi-secagent-web 自己声明 volumes 后，不会自动把 anchor 中的列表追加进去。因此最终提交前应以 docker compose config 的实际输出为准，而不是凭模板缩进判断。</w:t>
      </w:r>
    </w:p>
    <w:p w14:paraId="1309E47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10.3 基础运行命令</w:t>
      </w:r>
    </w:p>
    <w:p w14:paraId="0C8F34E6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# CLI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docker compose -f packages/secagent/templates/docker-compose.yml run --rm pi-secagent cli --help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Web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SECAGENT_WEB_PORT=30141 docker compose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-f packages/secagent/templates/docker-compose.yml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--profile web up -d pi-secagent-web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fixture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docker compose -f packages/secagent/templates/docker-compose.yml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--profile fixtures up -d fixture-web</w:t>
      </w:r>
    </w:p>
    <w:p w14:paraId="6590653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10" w:name="_Toc28877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11. Sandbox 与 MCP 部署配置</w:t>
      </w:r>
      <w:bookmarkEnd w:id="10"/>
    </w:p>
    <w:p w14:paraId="4FDDED0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11.1 sandbox.json 当前默认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515"/>
        <w:gridCol w:w="4139"/>
      </w:tblGrid>
      <w:tr w14:paraId="10D3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CE6F1"/>
            <w:vAlign w:val="center"/>
          </w:tcPr>
          <w:p w14:paraId="60BF27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类别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1F95D6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当前模板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5B8A27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部署解释</w:t>
            </w:r>
          </w:p>
        </w:tc>
      </w:tr>
      <w:tr w14:paraId="4A97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AE24D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enabled</w:t>
            </w:r>
          </w:p>
        </w:tc>
        <w:tc>
          <w:tcPr>
            <w:tcW w:w="3515" w:type="dxa"/>
            <w:vAlign w:val="center"/>
          </w:tcPr>
          <w:p w14:paraId="160D35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true</w:t>
            </w:r>
          </w:p>
        </w:tc>
        <w:tc>
          <w:tcPr>
            <w:tcW w:w="4139" w:type="dxa"/>
            <w:vAlign w:val="center"/>
          </w:tcPr>
          <w:p w14:paraId="07A205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预期启用 sandbox</w:t>
            </w:r>
          </w:p>
        </w:tc>
      </w:tr>
      <w:tr w14:paraId="7B3C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F8CCB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browser process</w:t>
            </w:r>
          </w:p>
        </w:tc>
        <w:tc>
          <w:tcPr>
            <w:tcW w:w="3515" w:type="dxa"/>
            <w:vAlign w:val="center"/>
          </w:tcPr>
          <w:p w14:paraId="01136F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false</w:t>
            </w:r>
          </w:p>
        </w:tc>
        <w:tc>
          <w:tcPr>
            <w:tcW w:w="4139" w:type="dxa"/>
            <w:vAlign w:val="center"/>
          </w:tcPr>
          <w:p w14:paraId="45B42F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不允许浏览器进程</w:t>
            </w:r>
          </w:p>
        </w:tc>
      </w:tr>
      <w:tr w14:paraId="64590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DFA83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local binding</w:t>
            </w:r>
          </w:p>
        </w:tc>
        <w:tc>
          <w:tcPr>
            <w:tcW w:w="3515" w:type="dxa"/>
            <w:vAlign w:val="center"/>
          </w:tcPr>
          <w:p w14:paraId="20CB36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false</w:t>
            </w:r>
          </w:p>
        </w:tc>
        <w:tc>
          <w:tcPr>
            <w:tcW w:w="4139" w:type="dxa"/>
            <w:vAlign w:val="center"/>
          </w:tcPr>
          <w:p w14:paraId="5D0DF2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不允许本地监听</w:t>
            </w:r>
          </w:p>
        </w:tc>
      </w:tr>
      <w:tr w14:paraId="73F3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8DCAD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unix sockets</w:t>
            </w:r>
          </w:p>
        </w:tc>
        <w:tc>
          <w:tcPr>
            <w:tcW w:w="3515" w:type="dxa"/>
            <w:vAlign w:val="center"/>
          </w:tcPr>
          <w:p w14:paraId="6190F9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false</w:t>
            </w:r>
          </w:p>
        </w:tc>
        <w:tc>
          <w:tcPr>
            <w:tcW w:w="4139" w:type="dxa"/>
            <w:vAlign w:val="center"/>
          </w:tcPr>
          <w:p w14:paraId="2219DB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不允许任意 Unix socket</w:t>
            </w:r>
          </w:p>
        </w:tc>
      </w:tr>
      <w:tr w14:paraId="7314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BB794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SOCKS proxy</w:t>
            </w:r>
          </w:p>
        </w:tc>
        <w:tc>
          <w:tcPr>
            <w:tcW w:w="3515" w:type="dxa"/>
            <w:vAlign w:val="center"/>
          </w:tcPr>
          <w:p w14:paraId="49C065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false</w:t>
            </w:r>
          </w:p>
        </w:tc>
        <w:tc>
          <w:tcPr>
            <w:tcW w:w="4139" w:type="dxa"/>
            <w:vAlign w:val="center"/>
          </w:tcPr>
          <w:p w14:paraId="7D38D2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不允许未认证 SOCKS</w:t>
            </w:r>
          </w:p>
        </w:tc>
      </w:tr>
      <w:tr w14:paraId="49F9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679B1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allowedDomains</w:t>
            </w:r>
          </w:p>
        </w:tc>
        <w:tc>
          <w:tcPr>
            <w:tcW w:w="3515" w:type="dxa"/>
            <w:vAlign w:val="center"/>
          </w:tcPr>
          <w:p w14:paraId="32B56B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[]</w:t>
            </w:r>
          </w:p>
        </w:tc>
        <w:tc>
          <w:tcPr>
            <w:tcW w:w="4139" w:type="dxa"/>
            <w:vAlign w:val="center"/>
          </w:tcPr>
          <w:p w14:paraId="264852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最终需验证 pi-sandbox@0.6.3 对空列表的具体语义</w:t>
            </w:r>
          </w:p>
        </w:tc>
      </w:tr>
      <w:tr w14:paraId="2D1D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1ABDE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denyRead</w:t>
            </w:r>
          </w:p>
        </w:tc>
        <w:tc>
          <w:tcPr>
            <w:tcW w:w="3515" w:type="dxa"/>
            <w:vAlign w:val="center"/>
          </w:tcPr>
          <w:p w14:paraId="2A534B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~/.ssh ~/.aws ~/.gnupg ~/.config/gcloud</w:t>
            </w:r>
          </w:p>
        </w:tc>
        <w:tc>
          <w:tcPr>
            <w:tcW w:w="4139" w:type="dxa"/>
            <w:vAlign w:val="center"/>
          </w:tcPr>
          <w:p w14:paraId="4B4040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与 SecAgent protected paths 形成双层保护</w:t>
            </w:r>
          </w:p>
        </w:tc>
      </w:tr>
      <w:tr w14:paraId="51B4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DD546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allowRead/Write</w:t>
            </w:r>
          </w:p>
        </w:tc>
        <w:tc>
          <w:tcPr>
            <w:tcW w:w="3515" w:type="dxa"/>
            <w:vAlign w:val="center"/>
          </w:tcPr>
          <w:p w14:paraId="425076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. /tmp</w:t>
            </w:r>
          </w:p>
        </w:tc>
        <w:tc>
          <w:tcPr>
            <w:tcW w:w="4139" w:type="dxa"/>
            <w:vAlign w:val="center"/>
          </w:tcPr>
          <w:p w14:paraId="72B54F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把操作限定在 cwd 与 tmp</w:t>
            </w:r>
          </w:p>
        </w:tc>
      </w:tr>
      <w:tr w14:paraId="62B9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8D67F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denyWrite</w:t>
            </w:r>
          </w:p>
        </w:tc>
        <w:tc>
          <w:tcPr>
            <w:tcW w:w="3515" w:type="dxa"/>
            <w:vAlign w:val="center"/>
          </w:tcPr>
          <w:p w14:paraId="0A4062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.git .env .env.* *.pem *.key *.p12 *.pfx</w:t>
            </w:r>
          </w:p>
        </w:tc>
        <w:tc>
          <w:tcPr>
            <w:tcW w:w="4139" w:type="dxa"/>
            <w:vAlign w:val="center"/>
          </w:tcPr>
          <w:p w14:paraId="5D255C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防止 Agent 写入敏感配置/私钥</w:t>
            </w:r>
          </w:p>
        </w:tc>
      </w:tr>
    </w:tbl>
    <w:p w14:paraId="614D30C4">
      <w:pPr>
        <w:spacing w:after="20"/>
      </w:pPr>
    </w:p>
    <w:p w14:paraId="5C302FC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11.2 mcp.json 当前默认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814"/>
        <w:gridCol w:w="4932"/>
      </w:tblGrid>
      <w:tr w14:paraId="4AA5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3525C3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设置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15F364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值</w:t>
            </w:r>
          </w:p>
        </w:tc>
        <w:tc>
          <w:tcPr>
            <w:tcW w:w="4932" w:type="dxa"/>
            <w:shd w:val="clear" w:color="auto" w:fill="DCE6F1"/>
            <w:vAlign w:val="center"/>
          </w:tcPr>
          <w:p w14:paraId="24F337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意义</w:t>
            </w:r>
          </w:p>
        </w:tc>
      </w:tr>
      <w:tr w14:paraId="26F7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8C7D7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hostConfigDiscovery</w:t>
            </w:r>
          </w:p>
        </w:tc>
        <w:tc>
          <w:tcPr>
            <w:tcW w:w="1814" w:type="dxa"/>
            <w:vAlign w:val="center"/>
          </w:tcPr>
          <w:p w14:paraId="16E658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off</w:t>
            </w:r>
          </w:p>
        </w:tc>
        <w:tc>
          <w:tcPr>
            <w:tcW w:w="4932" w:type="dxa"/>
            <w:vAlign w:val="center"/>
          </w:tcPr>
          <w:p w14:paraId="5C7A7F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不从宿主自动发现 MCP 配置</w:t>
            </w:r>
          </w:p>
        </w:tc>
      </w:tr>
      <w:tr w14:paraId="2253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8C9F7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directTools</w:t>
            </w:r>
          </w:p>
        </w:tc>
        <w:tc>
          <w:tcPr>
            <w:tcW w:w="1814" w:type="dxa"/>
            <w:vAlign w:val="center"/>
          </w:tcPr>
          <w:p w14:paraId="6A74F6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false</w:t>
            </w:r>
          </w:p>
        </w:tc>
        <w:tc>
          <w:tcPr>
            <w:tcW w:w="4932" w:type="dxa"/>
            <w:vAlign w:val="center"/>
          </w:tcPr>
          <w:p w14:paraId="75BA0B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不把 MCP 工具直接裸露为普通 direct tools</w:t>
            </w:r>
          </w:p>
        </w:tc>
      </w:tr>
      <w:tr w14:paraId="1C077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F46D4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freezeDirectTools</w:t>
            </w:r>
          </w:p>
        </w:tc>
        <w:tc>
          <w:tcPr>
            <w:tcW w:w="1814" w:type="dxa"/>
            <w:vAlign w:val="center"/>
          </w:tcPr>
          <w:p w14:paraId="0F3041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true</w:t>
            </w:r>
          </w:p>
        </w:tc>
        <w:tc>
          <w:tcPr>
            <w:tcW w:w="4932" w:type="dxa"/>
            <w:vAlign w:val="center"/>
          </w:tcPr>
          <w:p w14:paraId="582894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冻结 direct tools 行为</w:t>
            </w:r>
          </w:p>
        </w:tc>
      </w:tr>
      <w:tr w14:paraId="3D67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BB01F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autoAuth</w:t>
            </w:r>
          </w:p>
        </w:tc>
        <w:tc>
          <w:tcPr>
            <w:tcW w:w="1814" w:type="dxa"/>
            <w:vAlign w:val="center"/>
          </w:tcPr>
          <w:p w14:paraId="406CA1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false</w:t>
            </w:r>
          </w:p>
        </w:tc>
        <w:tc>
          <w:tcPr>
            <w:tcW w:w="4932" w:type="dxa"/>
            <w:vAlign w:val="center"/>
          </w:tcPr>
          <w:p w14:paraId="72A8DD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不自动授权</w:t>
            </w:r>
          </w:p>
        </w:tc>
      </w:tr>
      <w:tr w14:paraId="3DBFB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A50DA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mcpServers</w:t>
            </w:r>
          </w:p>
        </w:tc>
        <w:tc>
          <w:tcPr>
            <w:tcW w:w="1814" w:type="dxa"/>
            <w:vAlign w:val="center"/>
          </w:tcPr>
          <w:p w14:paraId="03F995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{}</w:t>
            </w:r>
          </w:p>
        </w:tc>
        <w:tc>
          <w:tcPr>
            <w:tcW w:w="4932" w:type="dxa"/>
            <w:vAlign w:val="center"/>
          </w:tcPr>
          <w:p w14:paraId="1D9096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默认不预置外部 MCP Server</w:t>
            </w:r>
          </w:p>
        </w:tc>
      </w:tr>
    </w:tbl>
    <w:p w14:paraId="0882AAB6">
      <w:pPr>
        <w:spacing w:after="20"/>
      </w:pPr>
    </w:p>
    <w:p w14:paraId="56A7D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这两个模板体现“默认拒绝/最少发现”原则。比赛需要新增 MCP Server 时，应明确服务器地址、认证来源、工具风险、Scope target 提取和是否允许网络 egress，并通过 SecAgent MCP policy bridge 记录风险。</w:t>
      </w:r>
    </w:p>
    <w:p w14:paraId="658680B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11" w:name="_Toc13091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12. Secret、环境变量与构建上下文治理</w:t>
      </w:r>
      <w:bookmarkEnd w:id="11"/>
    </w:p>
    <w:p w14:paraId="4294928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12.1 禁止进入镜像/仓库的内容</w:t>
      </w:r>
    </w:p>
    <w:p w14:paraId="10D77C4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模型 API Key、主办方 gateway token、Cookie、SSH 私钥、云凭据、Kubeconfig、Docker registry token。</w:t>
      </w:r>
    </w:p>
    <w:p w14:paraId="35F8FA6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真实比赛目标列表中不宜公开的资产信息、授权书编号、内部域名和未脱敏日志。</w:t>
      </w:r>
    </w:p>
    <w:p w14:paraId="43EC12B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本地 .env、代理凭据、npm token、私有 registry token。</w:t>
      </w:r>
    </w:p>
    <w:p w14:paraId="6245E87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12.2 当前 .dockerignore 审查</w:t>
      </w:r>
    </w:p>
    <w:p w14:paraId="5562B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 .dockerignore 已排除 node_modules、dist、.next、coverage、.git、.artifacts、.pi、日志和常见 OS 文件，但没有排除 .env/.env.*、*.pem、*.key 等。由于 Dockerfile 在早期执行 COPY . .，如果开发者在仓库根目录放了秘密文件，它们可能进入镜像层。</w:t>
      </w:r>
    </w:p>
    <w:p w14:paraId="53978564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# 正式构建前至少执行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status --porcelain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find . -maxdepth 3 -type f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\( -name ".env" -o -name ".env.*" -o -name "*.pem" -o -name "*.key" -o -name "*.p12" -o -name "*.pfx" \) -print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发现秘密文件应先移出 build context，并完善 .dockerignore</w:t>
      </w:r>
    </w:p>
    <w:p w14:paraId="03A4EEE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12.3 推荐注入方式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535"/>
        <w:gridCol w:w="2891"/>
      </w:tblGrid>
      <w:tr w14:paraId="60496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CE6F1"/>
            <w:vAlign w:val="center"/>
          </w:tcPr>
          <w:p w14:paraId="39605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场景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208F6F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推荐方式</w:t>
            </w:r>
          </w:p>
        </w:tc>
        <w:tc>
          <w:tcPr>
            <w:tcW w:w="2891" w:type="dxa"/>
            <w:shd w:val="clear" w:color="auto" w:fill="DCE6F1"/>
            <w:vAlign w:val="center"/>
          </w:tcPr>
          <w:p w14:paraId="06487D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不推荐</w:t>
            </w:r>
          </w:p>
        </w:tc>
      </w:tr>
      <w:tr w14:paraId="647F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748B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原生 CLI/Web</w:t>
            </w:r>
          </w:p>
        </w:tc>
        <w:tc>
          <w:tcPr>
            <w:tcW w:w="4535" w:type="dxa"/>
            <w:vAlign w:val="center"/>
          </w:tcPr>
          <w:p w14:paraId="1E8FF0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 credentials + process environment + secret manager</w:t>
            </w:r>
          </w:p>
        </w:tc>
        <w:tc>
          <w:tcPr>
            <w:tcW w:w="2891" w:type="dxa"/>
            <w:vAlign w:val="center"/>
          </w:tcPr>
          <w:p w14:paraId="353F7F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把 key 写到仓库配置示例</w:t>
            </w:r>
          </w:p>
        </w:tc>
      </w:tr>
      <w:tr w14:paraId="083B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71406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 runtime</w:t>
            </w:r>
          </w:p>
        </w:tc>
        <w:tc>
          <w:tcPr>
            <w:tcW w:w="4535" w:type="dxa"/>
            <w:vAlign w:val="center"/>
          </w:tcPr>
          <w:p w14:paraId="5B557D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Docker/Compose secret、受控 env_file（文件权限限制且不提交）、外部 secret manager</w:t>
            </w:r>
          </w:p>
        </w:tc>
        <w:tc>
          <w:tcPr>
            <w:tcW w:w="2891" w:type="dxa"/>
            <w:vAlign w:val="center"/>
          </w:tcPr>
          <w:p w14:paraId="51761F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Dockerfile ENV/ARG 传真实 secret</w:t>
            </w:r>
          </w:p>
        </w:tc>
      </w:tr>
      <w:tr w14:paraId="15682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7A0E2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CI</w:t>
            </w:r>
          </w:p>
        </w:tc>
        <w:tc>
          <w:tcPr>
            <w:tcW w:w="4535" w:type="dxa"/>
            <w:vAlign w:val="center"/>
          </w:tcPr>
          <w:p w14:paraId="68D172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CI secret store + masked env</w:t>
            </w:r>
          </w:p>
        </w:tc>
        <w:tc>
          <w:tcPr>
            <w:tcW w:w="2891" w:type="dxa"/>
            <w:vAlign w:val="center"/>
          </w:tcPr>
          <w:p w14:paraId="66D5D7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把 token 打到日志</w:t>
            </w:r>
          </w:p>
        </w:tc>
      </w:tr>
      <w:tr w14:paraId="71C0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A563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演示截图/报告</w:t>
            </w:r>
          </w:p>
        </w:tc>
        <w:tc>
          <w:tcPr>
            <w:tcW w:w="4535" w:type="dxa"/>
            <w:vAlign w:val="center"/>
          </w:tcPr>
          <w:p w14:paraId="1FEE33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脱敏后输出；报告默认 redact</w:t>
            </w:r>
          </w:p>
        </w:tc>
        <w:tc>
          <w:tcPr>
            <w:tcW w:w="2891" w:type="dxa"/>
            <w:vAlign w:val="center"/>
          </w:tcPr>
          <w:p w14:paraId="47DF1E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截图终端 export key 或完整 Authorization header</w:t>
            </w:r>
          </w:p>
        </w:tc>
      </w:tr>
    </w:tbl>
    <w:p w14:paraId="0C1EF3F8">
      <w:pPr>
        <w:spacing w:after="20"/>
      </w:pPr>
    </w:p>
    <w:p w14:paraId="7A62C96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12" w:name="_Toc32751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A. 快速命令清单</w:t>
      </w:r>
      <w:bookmarkEnd w:id="12"/>
    </w:p>
    <w:p w14:paraId="5D44591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A.1 Host-native 最短复现</w:t>
      </w:r>
    </w:p>
    <w:p w14:paraId="53D82003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git clone https://github.com/DrNbnonono/mypi.git mypi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cd mypi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checkout feat/secagent-security-kernel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ci --ignore-scripts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check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 --workspace=@agegr/pi-web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SECAGENT_RUNTIME_DIR="$HOME/.pi/secagent-runtime"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init --yes --prefix "$SECAGENT_RUNTIME_DIR" &gt;/dev/null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install --ignore-scripts --prefix "$SECAGENT_RUNTIME_DIR" --save-exact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pi-sandbox@0.6.3 pi-mcp-adapter@2.23.0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pi-subagents@0.50.0 pi-trace-extension@0.1.14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export PI_SECAGENT_RUNTIME_DIR="$SECAGENT_RUNTIME_DIR"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node packages/coding-agent/dist/bundle/cli.js --agent-mode sec</w:t>
      </w:r>
    </w:p>
    <w:p w14:paraId="1CAFB8E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A.2 Web production</w:t>
      </w:r>
    </w:p>
    <w:p w14:paraId="10DFE439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npm run start --workspace=@agegr/pi-web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default: http://127.0.0.1:30141</w:t>
      </w:r>
    </w:p>
    <w:p w14:paraId="207343C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A.3 Container acceptance</w:t>
      </w:r>
    </w:p>
    <w:p w14:paraId="71531D5E">
      <w:pPr>
        <w:pStyle w:val="165"/>
        <w:shd w:val="clear" w:fill="EEECE1" w:themeFill="background2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docker compose -f packages/secagent/templates/docker-compose.yml config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bash packages/secagent/scripts/competition-acceptance.sh</w:t>
      </w:r>
    </w:p>
    <w:p w14:paraId="0C0A851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13" w:name="_Toc23699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B. 关键环境变量</w:t>
      </w:r>
      <w:bookmarkEnd w:id="13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1"/>
        <w:gridCol w:w="2316"/>
        <w:gridCol w:w="800"/>
        <w:gridCol w:w="2042"/>
      </w:tblGrid>
      <w:tr w14:paraId="392C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23A231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变量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2540DC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当前代码/模板用途</w:t>
            </w:r>
          </w:p>
        </w:tc>
        <w:tc>
          <w:tcPr>
            <w:tcW w:w="1304" w:type="dxa"/>
            <w:shd w:val="clear" w:color="auto" w:fill="DCE6F1"/>
            <w:vAlign w:val="center"/>
          </w:tcPr>
          <w:p w14:paraId="6D291A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是否敏感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359958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建议记录</w:t>
            </w:r>
          </w:p>
        </w:tc>
      </w:tr>
      <w:tr w14:paraId="5DEDA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74BFB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PI_SECAGENT_RUNTIME_DIR</w:t>
            </w:r>
          </w:p>
        </w:tc>
        <w:tc>
          <w:tcPr>
            <w:tcW w:w="3855" w:type="dxa"/>
            <w:vAlign w:val="center"/>
          </w:tcPr>
          <w:p w14:paraId="7272F4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 runtime package 解析目录</w:t>
            </w:r>
          </w:p>
        </w:tc>
        <w:tc>
          <w:tcPr>
            <w:tcW w:w="1304" w:type="dxa"/>
            <w:vAlign w:val="center"/>
          </w:tcPr>
          <w:p w14:paraId="300F63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  <w:tc>
          <w:tcPr>
            <w:tcW w:w="2324" w:type="dxa"/>
            <w:vAlign w:val="center"/>
          </w:tcPr>
          <w:p w14:paraId="673C10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绝对路径 + 4 包版本</w:t>
            </w:r>
          </w:p>
        </w:tc>
      </w:tr>
      <w:tr w14:paraId="408C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57EF8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PI_AI_GATEWAY_URL / AI_GATEWAY_URL</w:t>
            </w:r>
          </w:p>
        </w:tc>
        <w:tc>
          <w:tcPr>
            <w:tcW w:w="3855" w:type="dxa"/>
            <w:vAlign w:val="center"/>
          </w:tcPr>
          <w:p w14:paraId="2D9396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AI 安全网关提示/配置</w:t>
            </w:r>
          </w:p>
        </w:tc>
        <w:tc>
          <w:tcPr>
            <w:tcW w:w="1304" w:type="dxa"/>
            <w:vAlign w:val="center"/>
          </w:tcPr>
          <w:p w14:paraId="0CDB6F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地址可能敏感</w:t>
            </w:r>
          </w:p>
        </w:tc>
        <w:tc>
          <w:tcPr>
            <w:tcW w:w="2324" w:type="dxa"/>
            <w:vAlign w:val="center"/>
          </w:tcPr>
          <w:p w14:paraId="32E993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脱敏域名或受控记录</w:t>
            </w:r>
          </w:p>
        </w:tc>
      </w:tr>
      <w:tr w14:paraId="60F8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32E99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PI_WEB_PASSWORD</w:t>
            </w:r>
          </w:p>
        </w:tc>
        <w:tc>
          <w:tcPr>
            <w:tcW w:w="3855" w:type="dxa"/>
            <w:vAlign w:val="center"/>
          </w:tcPr>
          <w:p w14:paraId="6A9298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 Web Basic Auth 密码</w:t>
            </w:r>
          </w:p>
        </w:tc>
        <w:tc>
          <w:tcPr>
            <w:tcW w:w="1304" w:type="dxa"/>
            <w:vAlign w:val="center"/>
          </w:tcPr>
          <w:p w14:paraId="7A1CB6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是</w:t>
            </w:r>
          </w:p>
        </w:tc>
        <w:tc>
          <w:tcPr>
            <w:tcW w:w="2324" w:type="dxa"/>
            <w:vAlign w:val="center"/>
          </w:tcPr>
          <w:p w14:paraId="0B1408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只记录“已设置”，不存值</w:t>
            </w:r>
          </w:p>
        </w:tc>
      </w:tr>
      <w:tr w14:paraId="0410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0FD5D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PI_WEB_ALLOWED_HOSTS</w:t>
            </w:r>
          </w:p>
        </w:tc>
        <w:tc>
          <w:tcPr>
            <w:tcW w:w="3855" w:type="dxa"/>
            <w:vAlign w:val="center"/>
          </w:tcPr>
          <w:p w14:paraId="547817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反代/自定义 Host 精确白名单</w:t>
            </w:r>
          </w:p>
        </w:tc>
        <w:tc>
          <w:tcPr>
            <w:tcW w:w="1304" w:type="dxa"/>
            <w:vAlign w:val="center"/>
          </w:tcPr>
          <w:p w14:paraId="6A6C90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通常否</w:t>
            </w:r>
          </w:p>
        </w:tc>
        <w:tc>
          <w:tcPr>
            <w:tcW w:w="2324" w:type="dxa"/>
            <w:vAlign w:val="center"/>
          </w:tcPr>
          <w:p w14:paraId="3FCF2D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最终域名</w:t>
            </w:r>
          </w:p>
        </w:tc>
      </w:tr>
      <w:tr w14:paraId="0A6C3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B668F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PI_WEB_HOSTNAME</w:t>
            </w:r>
          </w:p>
        </w:tc>
        <w:tc>
          <w:tcPr>
            <w:tcW w:w="3855" w:type="dxa"/>
            <w:vAlign w:val="center"/>
          </w:tcPr>
          <w:p w14:paraId="3F701C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监听地址</w:t>
            </w:r>
          </w:p>
        </w:tc>
        <w:tc>
          <w:tcPr>
            <w:tcW w:w="1304" w:type="dxa"/>
            <w:vAlign w:val="center"/>
          </w:tcPr>
          <w:p w14:paraId="299031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  <w:tc>
          <w:tcPr>
            <w:tcW w:w="2324" w:type="dxa"/>
            <w:vAlign w:val="center"/>
          </w:tcPr>
          <w:p w14:paraId="68AAD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127.0.0.1/private</w:t>
            </w:r>
          </w:p>
        </w:tc>
      </w:tr>
      <w:tr w14:paraId="5F769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63EA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PORT / SECAGENT_WEB_PORT</w:t>
            </w:r>
          </w:p>
        </w:tc>
        <w:tc>
          <w:tcPr>
            <w:tcW w:w="3855" w:type="dxa"/>
            <w:vAlign w:val="center"/>
          </w:tcPr>
          <w:p w14:paraId="1B1F44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端口/Compose host port</w:t>
            </w:r>
          </w:p>
        </w:tc>
        <w:tc>
          <w:tcPr>
            <w:tcW w:w="1304" w:type="dxa"/>
            <w:vAlign w:val="center"/>
          </w:tcPr>
          <w:p w14:paraId="38546F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  <w:tc>
          <w:tcPr>
            <w:tcW w:w="2324" w:type="dxa"/>
            <w:vAlign w:val="center"/>
          </w:tcPr>
          <w:p w14:paraId="20E99B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最终端口</w:t>
            </w:r>
          </w:p>
        </w:tc>
      </w:tr>
      <w:tr w14:paraId="4ACC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3D870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HTTP_PROXY/HTTPS_PROXY/NO_PROXY</w:t>
            </w:r>
          </w:p>
        </w:tc>
        <w:tc>
          <w:tcPr>
            <w:tcW w:w="3855" w:type="dxa"/>
            <w:vAlign w:val="center"/>
          </w:tcPr>
          <w:p w14:paraId="5F4234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server model/API proxy</w:t>
            </w:r>
          </w:p>
        </w:tc>
        <w:tc>
          <w:tcPr>
            <w:tcW w:w="1304" w:type="dxa"/>
            <w:vAlign w:val="center"/>
          </w:tcPr>
          <w:p w14:paraId="3F6BFB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可能敏感</w:t>
            </w:r>
          </w:p>
        </w:tc>
        <w:tc>
          <w:tcPr>
            <w:tcW w:w="2324" w:type="dxa"/>
            <w:vAlign w:val="center"/>
          </w:tcPr>
          <w:p w14:paraId="579795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脱敏记录代理策略</w:t>
            </w:r>
          </w:p>
        </w:tc>
      </w:tr>
      <w:tr w14:paraId="0CFE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033B2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PI_OFFLINE</w:t>
            </w:r>
          </w:p>
        </w:tc>
        <w:tc>
          <w:tcPr>
            <w:tcW w:w="3855" w:type="dxa"/>
            <w:vAlign w:val="center"/>
          </w:tcPr>
          <w:p w14:paraId="55C0EF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Compose runtime offline mode</w:t>
            </w:r>
          </w:p>
        </w:tc>
        <w:tc>
          <w:tcPr>
            <w:tcW w:w="1304" w:type="dxa"/>
            <w:vAlign w:val="center"/>
          </w:tcPr>
          <w:p w14:paraId="4AA115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  <w:tc>
          <w:tcPr>
            <w:tcW w:w="2324" w:type="dxa"/>
            <w:vAlign w:val="center"/>
          </w:tcPr>
          <w:p w14:paraId="506C44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0/1</w:t>
            </w:r>
          </w:p>
        </w:tc>
      </w:tr>
      <w:tr w14:paraId="608C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B62FA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SECAGENT_BASE_IMAGE</w:t>
            </w:r>
          </w:p>
        </w:tc>
        <w:tc>
          <w:tcPr>
            <w:tcW w:w="3855" w:type="dxa"/>
            <w:vAlign w:val="center"/>
          </w:tcPr>
          <w:p w14:paraId="497FFE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Compose build base image</w:t>
            </w:r>
          </w:p>
        </w:tc>
        <w:tc>
          <w:tcPr>
            <w:tcW w:w="1304" w:type="dxa"/>
            <w:vAlign w:val="center"/>
          </w:tcPr>
          <w:p w14:paraId="2A2266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  <w:tc>
          <w:tcPr>
            <w:tcW w:w="2324" w:type="dxa"/>
            <w:vAlign w:val="center"/>
          </w:tcPr>
          <w:p w14:paraId="1AFF6D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名称 + digest</w:t>
            </w:r>
          </w:p>
        </w:tc>
      </w:tr>
      <w:tr w14:paraId="1AA1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B4C7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SECAGENT_DEBIAN_MIRROR</w:t>
            </w:r>
          </w:p>
        </w:tc>
        <w:tc>
          <w:tcPr>
            <w:tcW w:w="3855" w:type="dxa"/>
            <w:vAlign w:val="center"/>
          </w:tcPr>
          <w:p w14:paraId="32C2DE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APT mirror</w:t>
            </w:r>
          </w:p>
        </w:tc>
        <w:tc>
          <w:tcPr>
            <w:tcW w:w="1304" w:type="dxa"/>
            <w:vAlign w:val="center"/>
          </w:tcPr>
          <w:p w14:paraId="10D2BD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  <w:tc>
          <w:tcPr>
            <w:tcW w:w="2324" w:type="dxa"/>
            <w:vAlign w:val="center"/>
          </w:tcPr>
          <w:p w14:paraId="5BC798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域名 + 同步时间</w:t>
            </w:r>
          </w:p>
        </w:tc>
      </w:tr>
      <w:tr w14:paraId="339D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16C3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SECAGENT_NPM_REGISTRY</w:t>
            </w:r>
          </w:p>
        </w:tc>
        <w:tc>
          <w:tcPr>
            <w:tcW w:w="3855" w:type="dxa"/>
            <w:vAlign w:val="center"/>
          </w:tcPr>
          <w:p w14:paraId="044C91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npm registry</w:t>
            </w:r>
          </w:p>
        </w:tc>
        <w:tc>
          <w:tcPr>
            <w:tcW w:w="1304" w:type="dxa"/>
            <w:vAlign w:val="center"/>
          </w:tcPr>
          <w:p w14:paraId="7D28AF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可能私有</w:t>
            </w:r>
          </w:p>
        </w:tc>
        <w:tc>
          <w:tcPr>
            <w:tcW w:w="2324" w:type="dxa"/>
            <w:vAlign w:val="center"/>
          </w:tcPr>
          <w:p w14:paraId="7B3856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域名 + TLS/认证方式</w:t>
            </w:r>
          </w:p>
        </w:tc>
      </w:tr>
      <w:tr w14:paraId="5A62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90958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SECAGENT_WORKSPACE</w:t>
            </w:r>
          </w:p>
        </w:tc>
        <w:tc>
          <w:tcPr>
            <w:tcW w:w="3855" w:type="dxa"/>
            <w:vAlign w:val="center"/>
          </w:tcPr>
          <w:p w14:paraId="54CFD2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host workspace mount</w:t>
            </w:r>
          </w:p>
        </w:tc>
        <w:tc>
          <w:tcPr>
            <w:tcW w:w="1304" w:type="dxa"/>
            <w:vAlign w:val="center"/>
          </w:tcPr>
          <w:p w14:paraId="0A5839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路径可能敏感</w:t>
            </w:r>
          </w:p>
        </w:tc>
        <w:tc>
          <w:tcPr>
            <w:tcW w:w="2324" w:type="dxa"/>
            <w:vAlign w:val="center"/>
          </w:tcPr>
          <w:p w14:paraId="16EF2E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脱敏路径/权限</w:t>
            </w:r>
          </w:p>
        </w:tc>
      </w:tr>
      <w:tr w14:paraId="78B97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9B23D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SECAGENT_TOOLS</w:t>
            </w:r>
          </w:p>
        </w:tc>
        <w:tc>
          <w:tcPr>
            <w:tcW w:w="3855" w:type="dxa"/>
            <w:vAlign w:val="center"/>
          </w:tcPr>
          <w:p w14:paraId="6DCB99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host tools mount</w:t>
            </w:r>
          </w:p>
        </w:tc>
        <w:tc>
          <w:tcPr>
            <w:tcW w:w="1304" w:type="dxa"/>
            <w:vAlign w:val="center"/>
          </w:tcPr>
          <w:p w14:paraId="3FFB81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路径可能敏感</w:t>
            </w:r>
          </w:p>
        </w:tc>
        <w:tc>
          <w:tcPr>
            <w:tcW w:w="2324" w:type="dxa"/>
            <w:vAlign w:val="center"/>
          </w:tcPr>
          <w:p w14:paraId="3D4CD7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只读 + PATH 情况</w:t>
            </w:r>
          </w:p>
        </w:tc>
      </w:tr>
    </w:tbl>
    <w:p w14:paraId="70625A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0"/>
        <w:textAlignment w:val="auto"/>
        <w:rPr>
          <w:rFonts w:hint="eastAsia" w:ascii="Times New Roman" w:hAnsi="Times New Roman" w:eastAsia="仿宋_GB2312" w:cstheme="minorBidi"/>
          <w:b/>
          <w:bCs/>
          <w:color w:val="auto"/>
          <w:kern w:val="2"/>
          <w:sz w:val="24"/>
          <w:szCs w:val="21"/>
          <w:lang w:val="en-US" w:eastAsia="zh-CN" w:bidi="ar-SA"/>
        </w:rPr>
      </w:pPr>
    </w:p>
    <w:sectPr>
      <w:pgSz w:w="12240" w:h="15840"/>
      <w:pgMar w:top="1162" w:right="1191" w:bottom="1049" w:left="1276" w:header="454" w:footer="44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1F76C">
    <w:pPr>
      <w:pStyle w:val="24"/>
      <w:ind w:firstLine="0"/>
      <w:jc w:val="center"/>
    </w:pPr>
    <w:r>
      <w:rPr>
        <w:rFonts w:ascii="Times New Roman" w:hAnsi="Times New Roman" w:eastAsia="宋体" w:cs="Times New Roman"/>
        <w:color w:val="787878"/>
        <w:sz w:val="16"/>
      </w:rPr>
      <w:t xml:space="preserve">SecAgent Deployment Guide | baseline b9a3fd9a | 2026-09-02 | 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B2A6F">
    <w:pPr>
      <w:pStyle w:val="25"/>
      <w:ind w:firstLine="0"/>
      <w:jc w:val="right"/>
    </w:pPr>
    <w:r>
      <w:rPr>
        <w:rFonts w:ascii="Times New Roman" w:hAnsi="Times New Roman" w:eastAsia="宋体" w:cs="Times New Roman"/>
        <w:color w:val="696969"/>
        <w:sz w:val="16"/>
      </w:rPr>
      <w:t>XH-202609 | SecAgent Deployment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86AC00E"/>
    <w:multiLevelType w:val="singleLevel"/>
    <w:tmpl w:val="686AC00E"/>
    <w:lvl w:ilvl="0" w:tentative="0">
      <w:start w:val="1"/>
      <w:numFmt w:val="bullet"/>
      <w:suff w:val="space"/>
      <w:lvlText w:val=""/>
      <w:lvlJc w:val="left"/>
      <w:pPr>
        <w:ind w:left="778" w:leftChars="0" w:hanging="564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E6F3C"/>
    <w:rsid w:val="0AF618DB"/>
    <w:rsid w:val="25474DBC"/>
    <w:rsid w:val="2EF75A9F"/>
    <w:rsid w:val="30360848"/>
    <w:rsid w:val="390037A2"/>
    <w:rsid w:val="504D3319"/>
    <w:rsid w:val="50A82C45"/>
    <w:rsid w:val="5D127937"/>
    <w:rsid w:val="653A1DFB"/>
    <w:rsid w:val="677F7E04"/>
    <w:rsid w:val="6EBE56B6"/>
    <w:rsid w:val="74D8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  <w:ind w:firstLine="420"/>
    </w:pPr>
    <w:rPr>
      <w:rFonts w:ascii="Times New Roman" w:hAnsi="Times New Roman" w:eastAsia="宋体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244A73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00" w:after="80"/>
      <w:outlineLvl w:val="2"/>
    </w:pPr>
    <w:rPr>
      <w:rFonts w:asciiTheme="majorHAnsi" w:hAnsiTheme="majorHAnsi" w:eastAsiaTheme="majorEastAsia" w:cstheme="majorBidi"/>
      <w:b/>
      <w:bCs/>
      <w:color w:val="334E68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pBdr>
        <w:bottom w:val="single" w:color="4F81BD" w:themeColor="accent1" w:sz="8" w:space="4"/>
      </w:pBdr>
      <w:spacing w:before="240" w:after="8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Code Block"/>
    <w:uiPriority w:val="0"/>
    <w:pPr>
      <w:spacing w:before="60" w:after="80" w:line="250" w:lineRule="auto"/>
      <w:ind w:left="238" w:right="125" w:firstLine="0"/>
    </w:pPr>
    <w:rPr>
      <w:rFonts w:ascii="Consolas" w:hAnsi="Consolas" w:eastAsia="宋体" w:cs="Consolas"/>
      <w:sz w:val="16"/>
      <w:szCs w:val="22"/>
      <w:lang w:val="en-US" w:eastAsia="en-US" w:bidi="ar-SA"/>
    </w:rPr>
  </w:style>
  <w:style w:type="paragraph" w:customStyle="1" w:styleId="166">
    <w:name w:val="Note Box"/>
    <w:uiPriority w:val="0"/>
    <w:pPr>
      <w:spacing w:before="60" w:after="100" w:line="276" w:lineRule="auto"/>
      <w:ind w:left="238" w:right="238" w:firstLine="0"/>
    </w:pPr>
    <w:rPr>
      <w:rFonts w:ascii="Times New Roman" w:hAnsi="Times New Roman" w:eastAsia="宋体" w:cs="Times New Roman"/>
      <w:sz w:val="18"/>
      <w:szCs w:val="22"/>
      <w:lang w:val="en-US" w:eastAsia="en-US" w:bidi="ar-SA"/>
    </w:rPr>
  </w:style>
  <w:style w:type="paragraph" w:customStyle="1" w:styleId="167">
    <w:name w:val="Caption CN"/>
    <w:uiPriority w:val="0"/>
    <w:pPr>
      <w:spacing w:after="120" w:line="276" w:lineRule="auto"/>
      <w:ind w:firstLine="0"/>
      <w:jc w:val="center"/>
    </w:pPr>
    <w:rPr>
      <w:rFonts w:ascii="Times New Roman" w:hAnsi="Times New Roman" w:eastAsia="宋体" w:cs="Times New Roman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883</Words>
  <Characters>1534</Characters>
  <Lines>0</Lines>
  <Paragraphs>0</Paragraphs>
  <TotalTime>5</TotalTime>
  <ScaleCrop>false</ScaleCrop>
  <LinksUpToDate>false</LinksUpToDate>
  <CharactersWithSpaces>1658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李朝阳</cp:lastModifiedBy>
  <dcterms:modified xsi:type="dcterms:W3CDTF">2026-09-03T02:29:51Z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eyJoZGlkIjoiZWQ1NWM5MjAwMDVjZmNlMWYyY2JiMjVkMDlhYmYzYmQiLCJ1c2VySWQiOiIxNzY4NDg3Nzg4In0=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3A2DA3188B654AC8863001C3150A03E2_12</vt:lpwstr>
  </property>
</Properties>
</file>