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8F084"/>
    <w:p w14:paraId="1240FC94"/>
    <w:p w14:paraId="0B842A90"/>
    <w:p w14:paraId="5EFF3128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17365D"/>
          <w:sz w:val="60"/>
        </w:rPr>
        <w:t>SecAgent</w:t>
      </w:r>
    </w:p>
    <w:p w14:paraId="74A4F0BC">
      <w:pPr>
        <w:ind w:firstLine="0"/>
        <w:jc w:val="center"/>
      </w:pPr>
      <w:r>
        <w:rPr>
          <w:rFonts w:ascii="Times New Roman" w:hAnsi="Times New Roman" w:eastAsia="宋体" w:cs="Times New Roman"/>
          <w:b/>
          <w:sz w:val="38"/>
        </w:rPr>
        <w:t>具备自主决策能力的通用网络安全智能体</w:t>
      </w:r>
    </w:p>
    <w:p w14:paraId="60225594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244A73"/>
          <w:sz w:val="36"/>
        </w:rPr>
        <w:t>用户手册（操作与竞赛演示完善版）</w:t>
      </w:r>
    </w:p>
    <w:p w14:paraId="50792800"/>
    <w:p w14:paraId="53F6A97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20"/>
      </w:tblGrid>
      <w:tr w14:paraId="1544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0B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赛题编号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951A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XH-202609</w:t>
            </w:r>
          </w:p>
        </w:tc>
      </w:tr>
      <w:tr w14:paraId="1A74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184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项目仓库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55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github.com/DrNbnonono/mypi</w:t>
            </w:r>
          </w:p>
        </w:tc>
      </w:tr>
      <w:tr w14:paraId="4C4D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EA5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参赛分支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116E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feat/secagent-security-kernel</w:t>
            </w:r>
          </w:p>
        </w:tc>
      </w:tr>
      <w:tr w14:paraId="2819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113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代码审查基线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145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b9a3fd9a7a0811dc2de3fd5f7042b402090aafdc</w:t>
            </w:r>
          </w:p>
        </w:tc>
      </w:tr>
      <w:tr w14:paraId="3504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C33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SecAgent 包版本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3FB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0.84.2</w:t>
            </w:r>
          </w:p>
        </w:tc>
      </w:tr>
      <w:tr w14:paraId="3CAAE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243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文档版本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F48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V2.0（用户操作完善版）</w:t>
            </w:r>
          </w:p>
        </w:tc>
      </w:tr>
      <w:tr w14:paraId="188E6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BF8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编制日期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C5D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2026年9月2日</w:t>
            </w:r>
          </w:p>
        </w:tc>
      </w:tr>
      <w:tr w14:paraId="573F4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B8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团队/学校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474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【提交前填写】</w:t>
            </w:r>
          </w:p>
        </w:tc>
      </w:tr>
    </w:tbl>
    <w:p w14:paraId="07E6B10B"/>
    <w:p w14:paraId="63902E95">
      <w:pPr>
        <w:rPr>
          <w:rFonts w:hint="eastAsia" w:ascii="华文楷体" w:hAnsi="华文楷体" w:eastAsia="华文楷体" w:cs="华文楷体"/>
          <w:sz w:val="22"/>
          <w:szCs w:val="28"/>
        </w:rPr>
      </w:pPr>
    </w:p>
    <w:p w14:paraId="74020F29">
      <w:pPr>
        <w:pStyle w:val="165"/>
        <w:shd w:val="clear" w:fill="EAF2F8"/>
        <w:rPr>
          <w:rFonts w:hint="eastAsia" w:ascii="华文楷体" w:hAnsi="华文楷体" w:eastAsia="华文楷体" w:cs="华文楷体"/>
          <w:sz w:val="24"/>
          <w:szCs w:val="36"/>
        </w:rPr>
      </w:pPr>
      <w:r>
        <w:rPr>
          <w:rFonts w:hint="eastAsia" w:ascii="华文楷体" w:hAnsi="华文楷体" w:eastAsia="华文楷体" w:cs="华文楷体"/>
          <w:b/>
          <w:sz w:val="24"/>
          <w:szCs w:val="36"/>
        </w:rPr>
        <w:t>【文档定位】</w:t>
      </w:r>
      <w:r>
        <w:rPr>
          <w:rFonts w:hint="eastAsia" w:ascii="华文楷体" w:hAnsi="华文楷体" w:eastAsia="华文楷体" w:cs="华文楷体"/>
          <w:sz w:val="24"/>
          <w:szCs w:val="36"/>
        </w:rPr>
        <w:t>本手册面向参赛评审、现场演示人员和授权安全任务操作者，重点回答“怎么开始、怎么授权、怎么读状态、怎么安全执行、怎么</w:t>
      </w:r>
      <w:bookmarkStart w:id="0" w:name="_GoBack"/>
      <w:bookmarkEnd w:id="0"/>
      <w:r>
        <w:rPr>
          <w:rFonts w:hint="eastAsia" w:ascii="华文楷体" w:hAnsi="华文楷体" w:eastAsia="华文楷体" w:cs="华文楷体"/>
          <w:sz w:val="24"/>
          <w:szCs w:val="36"/>
        </w:rPr>
        <w:t>复核证据、怎么恢复与导出”。安装、构建、镜像和反向代理等内容以《03_部署手册》为准。</w:t>
      </w:r>
    </w:p>
    <w:p w14:paraId="3FF28610">
      <w:r>
        <w:rPr>
          <w:rFonts w:ascii="Times New Roman" w:hAnsi="Times New Roman" w:eastAsia="宋体" w:cs="Times New Roman"/>
        </w:rPr>
        <w:br w:type="page"/>
      </w:r>
    </w:p>
    <w:p w14:paraId="478336A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阅读导航</w:t>
      </w:r>
    </w:p>
    <w:p w14:paraId="75555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的用户操作分为两条主线：一条是 CLI/TUI，适合开发、快速验证和现场操作；另一条是 Pi Web，适合评委查看状态、证据、审计和报告。两条入口共享同一个 Sec Profile 与事件溯源安全状态。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216"/>
      </w:tblGrid>
      <w:tr w14:paraId="0DA4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EC8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你现在想做什么</w:t>
            </w:r>
          </w:p>
        </w:tc>
        <w:tc>
          <w:tcPr>
            <w:tcW w:w="52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A30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建议直接阅读</w:t>
            </w:r>
          </w:p>
        </w:tc>
      </w:tr>
      <w:tr w14:paraId="6CA4C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3B1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第一次启动并确认环境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A69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第 4～6 章：入口、诊断、五分钟快速开始</w:t>
            </w:r>
          </w:p>
        </w:tc>
      </w:tr>
      <w:tr w14:paraId="6DB7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327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创建安全任务并声明授权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92F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第 7～9 章：任务、Scope、策略与隔离</w:t>
            </w:r>
          </w:p>
        </w:tc>
      </w:tr>
      <w:tr w14:paraId="1FEA3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981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查看候选、计划并执行工具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088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第 10～12 章：工具、规划、执行网关</w:t>
            </w:r>
          </w:p>
        </w:tc>
      </w:tr>
      <w:tr w14:paraId="68F07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2C9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让系统连续自主推进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578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第 13 章：Autonomous Loop</w:t>
            </w:r>
          </w:p>
        </w:tc>
      </w:tr>
      <w:tr w14:paraId="14C6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C77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判断结果是否可信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B62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第 14 章：Evidence / Verification / Finding</w:t>
            </w:r>
          </w:p>
        </w:tc>
      </w:tr>
      <w:tr w14:paraId="3EE9F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5B1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使用专业 Agent 协同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7BA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第 15 章：专家 Agent 委派</w:t>
            </w:r>
          </w:p>
        </w:tc>
      </w:tr>
    </w:tbl>
    <w:p w14:paraId="110EC03C">
      <w:pPr>
        <w:spacing w:after="20"/>
      </w:pPr>
    </w:p>
    <w:p w14:paraId="5544E7E3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534025" cy="3138805"/>
            <wp:effectExtent l="0" t="0" r="133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9435">
      <w:pPr>
        <w:pStyle w:val="166"/>
      </w:pPr>
      <w:r>
        <w:rPr>
          <w:rFonts w:ascii="Times New Roman" w:hAnsi="Times New Roman" w:eastAsia="宋体" w:cs="Times New Roman"/>
        </w:rPr>
        <w:t>图 1  SecAgent 五分钟上手：从创建 Session 到证据化报告</w:t>
      </w:r>
    </w:p>
    <w:p w14:paraId="4D803709">
      <w:pPr>
        <w:pStyle w:val="165"/>
        <w:shd w:val="clear" w:fill="FFF8E7"/>
      </w:pPr>
      <w:r>
        <w:rPr>
          <w:rFonts w:hint="eastAsia" w:ascii="华文楷体" w:hAnsi="华文楷体" w:eastAsia="华文楷体" w:cs="华文楷体"/>
          <w:b/>
          <w:sz w:val="24"/>
          <w:szCs w:val="36"/>
        </w:rPr>
        <w:t>【重要区分】</w:t>
      </w:r>
      <w:r>
        <w:rPr>
          <w:rFonts w:hint="eastAsia" w:ascii="华文楷体" w:hAnsi="华文楷体" w:eastAsia="华文楷体" w:cs="华文楷体"/>
          <w:sz w:val="24"/>
          <w:szCs w:val="36"/>
        </w:rPr>
        <w:t>工具名如 security_intake、security_scope、security_plan 是 Agent Tool，不是 Shell 命令。通常由模型按结构化 Schema 调用；用户也可以在对话中明确要求“先调用 security_scope 查看范围，再继续”。以斜杠开头的 /sec-doctor、/sec-mode 等才是 CLI/TUI 命令。</w:t>
      </w:r>
      <w:r>
        <w:rPr>
          <w:rFonts w:ascii="Times New Roman" w:hAnsi="Times New Roman" w:eastAsia="宋体" w:cs="Times New Roman"/>
        </w:rPr>
        <w:br w:type="page"/>
      </w:r>
    </w:p>
    <w:p w14:paraId="0A3D050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1. 产品简介与适用边界</w:t>
      </w:r>
    </w:p>
    <w:p w14:paraId="5FFA6D2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1.1 产品定位</w:t>
      </w:r>
    </w:p>
    <w:p w14:paraId="50936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是基于 Pi Agent Harness 扩展的可选网络安全 Profile，用于在明确授权范围内完成安全任务理解、候选生成、规划与重规划、受控工具执行、专家 Agent 协同、证据验证、审计与报告输出。它不是第二套底层 Agent Loop，也不是“无限权限自动攻击器”。</w:t>
      </w:r>
    </w:p>
    <w:p w14:paraId="35FE7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使用者可以用自然语言说明目标，也可以提供文件、日志、接口文档或本地样本。系统将任务结构化为 SecurityTaskSpec，并把授权范围、策略、隔离、预算、决策、证据和审计作为独立状态保存。</w:t>
      </w:r>
    </w:p>
    <w:p w14:paraId="4AD4C44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1.3 当前版本边界</w:t>
      </w:r>
    </w:p>
    <w:p w14:paraId="6A17602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 Profile 显式启用；默认运行 pi 仍是 Coding Profile。</w:t>
      </w:r>
    </w:p>
    <w:p w14:paraId="7EBC220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当前确定性安全适配器共 11 个：nmap、curl、file、strings、readelf、objdump、binwalk、exiftool、httpx、ffuf、nuclei。</w:t>
      </w:r>
    </w:p>
    <w:p w14:paraId="0449857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网络 Scope 支持 host、domain、IPv4、IPv4 CIDR、URL；当前安全内核未完整支持 IPv6 Scope。</w:t>
      </w:r>
    </w:p>
    <w:p w14:paraId="04A5914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CTF 是能力叠加层，不是第七个独立 Agent；Pwn/Reverse/Forensics 等由通用能力与六类专家 Agent 组合完成。</w:t>
      </w:r>
    </w:p>
    <w:p w14:paraId="3EC5C1D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PDF、图片等可作为任务资产，但附件内容永远不自动产生目标授权。</w:t>
      </w:r>
    </w:p>
    <w:p w14:paraId="633DA1A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MCP 具备发现/传输与安全桥接能力，但当前默认 autonomous 候选链以已注册确定性 Adapter 为主，不能假设任意 MCP 工具会自动参与自主执行。</w:t>
      </w:r>
    </w:p>
    <w:p w14:paraId="5844E16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2. 使用前必须遵守的安全规则</w:t>
      </w:r>
    </w:p>
    <w:p w14:paraId="1B9A9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的安全控制用于降低误操作风险，但不能替代法律授权、比赛规则或资产所有者许可。使用者对目标是否合法、授权是否真实仍负最终责任。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3601"/>
        <w:gridCol w:w="4513"/>
      </w:tblGrid>
      <w:tr w14:paraId="5E048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C43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规则</w:t>
            </w:r>
          </w:p>
        </w:tc>
        <w:tc>
          <w:tcPr>
            <w:tcW w:w="408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2E4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用户操作要求</w:t>
            </w:r>
          </w:p>
        </w:tc>
        <w:tc>
          <w:tcPr>
            <w:tcW w:w="317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CD4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违反时的正确处理</w:t>
            </w:r>
          </w:p>
        </w:tc>
      </w:tr>
      <w:tr w14:paraId="3462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B68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授权先于执行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8CE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网络/状态变更前必须设置明确 scope 与 authorizationSource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376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停止执行，补全授权来源，不把附件内容当授权</w:t>
            </w:r>
          </w:p>
        </w:tc>
      </w:tr>
      <w:tr w14:paraId="67EC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E8E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隔离先于 autonomous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ABD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仅在 sandbox/container 或主办方受控环境启用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FF4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先运行 /sec-doctor，记录隔离来源，再做一次性授权</w:t>
            </w:r>
          </w:p>
        </w:tc>
      </w:tr>
      <w:tr w14:paraId="71670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729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高风险动作可确认/阻断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E57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遇到确认框阅读工具、目标、风险、Scope 说明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D90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无法确认时选择拒绝，不通过别的 Shell 路径绕过</w:t>
            </w:r>
          </w:p>
        </w:tc>
      </w:tr>
      <w:tr w14:paraId="024A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A35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凭证与敏感信息保护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2A0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不要把 API Key、Cookie、Token、私钥写入任务、截图或公开报告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4A9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使用部署配置/环境变量；报告导出前再次脱敏</w:t>
            </w:r>
          </w:p>
        </w:tc>
      </w:tr>
      <w:tr w14:paraId="1C527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8EE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未知样本只读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622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逆向/取证阶段默认只做静态读取，不执行未知二进制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465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使用 file/strings/readelf/objdump/binwalk/exiftool 等只读链</w:t>
            </w:r>
          </w:p>
        </w:tc>
      </w:tr>
      <w:tr w14:paraId="419F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A18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失败必须保留审计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C64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工具失败、超时、冲突都应保留 decision/audit/evidence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4B2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让 Replanner 换能力，不删除失败记录</w:t>
            </w:r>
          </w:p>
        </w:tc>
      </w:tr>
    </w:tbl>
    <w:p w14:paraId="3DE530CF">
      <w:pPr>
        <w:spacing w:after="20"/>
      </w:pPr>
    </w:p>
    <w:p w14:paraId="66DD894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3. 理解两组模式：Profile 与安全策略</w:t>
      </w:r>
    </w:p>
    <w:p w14:paraId="347AB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用户界面中会同时看到 Coding/Sec 和 strict/competition/autonomous。前者决定 Session 加载哪类 Agent 资源，后者决定 Sec Session 内高风险工具如何裁决。</w:t>
      </w:r>
    </w:p>
    <w:p w14:paraId="6216E49B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715000" cy="332041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2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5C4A">
      <w:pPr>
        <w:pStyle w:val="166"/>
      </w:pPr>
      <w:r>
        <w:rPr>
          <w:rFonts w:ascii="Times New Roman" w:hAnsi="Times New Roman" w:eastAsia="宋体" w:cs="Times New Roman"/>
        </w:rPr>
        <w:t>图 2  Coding/Sec Profile 与 strict/competition/autonomous 安全策略的区别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871"/>
        <w:gridCol w:w="3458"/>
        <w:gridCol w:w="2324"/>
      </w:tblGrid>
      <w:tr w14:paraId="1A3C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B53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概念</w:t>
            </w:r>
          </w:p>
        </w:tc>
        <w:tc>
          <w:tcPr>
            <w:tcW w:w="187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6F4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可选值</w:t>
            </w:r>
          </w:p>
        </w:tc>
        <w:tc>
          <w:tcPr>
            <w:tcW w:w="345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05C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含义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47C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切换影响</w:t>
            </w:r>
          </w:p>
        </w:tc>
      </w:tr>
      <w:tr w14:paraId="014F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84E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Agent Profile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CF9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coding / sec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23E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决定 Session 是否加载 SecAgent 安全资源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2B3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已有 Session 不原地转换；/agent-mode 会新建同 cwd 空白 Session</w:t>
            </w:r>
          </w:p>
        </w:tc>
      </w:tr>
      <w:tr w14:paraId="5173B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DC5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 Policy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63C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strict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AF5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保守运行；P2/P3 需要交互确认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330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当前 Sec Session 内即时生效</w:t>
            </w:r>
          </w:p>
        </w:tc>
      </w:tr>
      <w:tr w14:paraId="03E9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522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 Policy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9B8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competition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3CB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受控竞赛；P2 自动、P3 确认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637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仍执行 scope、预算、审计和隔离边界</w:t>
            </w:r>
          </w:p>
        </w:tc>
      </w:tr>
      <w:tr w14:paraId="7111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EAA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 Policy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EFC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E3B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连续受控自动搜索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A93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必须先记录隔离与一次性授权；不取消系统级边界</w:t>
            </w:r>
          </w:p>
        </w:tc>
      </w:tr>
    </w:tbl>
    <w:p w14:paraId="61142311">
      <w:pPr>
        <w:ind w:left="0" w:leftChars="0" w:firstLine="0" w:firstLineChars="0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</w:p>
    <w:p w14:paraId="45AFCC08">
      <w:pPr>
        <w:ind w:left="0" w:leftChars="0" w:firstLine="0" w:firstLineChars="0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4. 启动入口</w:t>
      </w:r>
    </w:p>
    <w:p w14:paraId="4EDF524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4.1 CLI / TUI</w:t>
      </w:r>
    </w:p>
    <w:p w14:paraId="076A6462">
      <w:pPr>
        <w:pStyle w:val="164"/>
        <w:shd w:val="clear" w:fill="F3F4F6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# 默认：Coding Profile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pi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# 新建 Sec Session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pi --agent-mode sec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# 查看通用帮助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pi --help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pi --version</w:t>
      </w:r>
    </w:p>
    <w:p w14:paraId="4A193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 Session 启动后，状态栏会显示类似 “sec strict | scope:0 | isolation:unverified”。这不是最终就绪结论，只是当前 Profile、策略、Scope 数量和隔离状态的摘要。</w:t>
      </w:r>
    </w:p>
    <w:p w14:paraId="6BCE173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4.2 Sec Web</w:t>
      </w:r>
    </w:p>
    <w:p w14:paraId="3460B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在稳定演示环境中，Web 服务默认绑定 127.0.0.1:30141。部署完成后，在浏览器打开对应地址，在“新建 Session”区域选择 Sec。浏览器会记住最近一次模式选择；Session 列表/标题会显示模式徽标。</w:t>
      </w:r>
    </w:p>
    <w:p w14:paraId="2737A9DE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# 生产模式启动（构建步骤见部署手册）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npm run start --workspace=@agegr/pi-web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# 默认访问地址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http://127.0.0.1:30141</w:t>
      </w:r>
    </w:p>
    <w:p w14:paraId="32B9B19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4.3 已有 Session 如何“切换”</w:t>
      </w:r>
    </w:p>
    <w:p w14:paraId="08375199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/agent-mode sec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/agent-mode coding</w:t>
      </w:r>
    </w:p>
    <w:p w14:paraId="0874C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这两个命令不会把当前聊天历史从 Coding 转成 Sec，也不会改写旧 Session；它们是在同一工作目录创建一个新的空白 Session。需要保留旧记录时，先记住旧 Session ID。</w:t>
      </w:r>
    </w:p>
    <w:p w14:paraId="75C6BFF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5. 首次诊断与就绪判读</w:t>
      </w:r>
    </w:p>
    <w:p w14:paraId="6CB52D0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5.1 运行 /sec-doctor</w:t>
      </w:r>
    </w:p>
    <w:p w14:paraId="0C8B980D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/sec-doctor</w:t>
      </w:r>
    </w:p>
    <w:p w14:paraId="33FC7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诊断会检查隔离状态、Sec-only runtime packages、专业 Agent 文件、外部工具版本、工作/临时/报告目录等。它还返回 ready、runtimeReady、autonomousReady 和 demoReady 等聚合状态。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7030"/>
      </w:tblGrid>
      <w:tr w14:paraId="2B95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197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状态字段</w:t>
            </w:r>
          </w:p>
        </w:tc>
        <w:tc>
          <w:tcPr>
            <w:tcW w:w="703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D42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用户应如何理解</w:t>
            </w:r>
          </w:p>
        </w:tc>
      </w:tr>
      <w:tr w14:paraId="7D448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EC1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ready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A50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基础诊断没有 fail；不代表真实模型连接已经测试</w:t>
            </w:r>
          </w:p>
        </w:tc>
      </w:tr>
      <w:tr w14:paraId="2CC89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395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runtimeReady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506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核心运行环境没有失败项；缺少部分 Sec-only 包可能仍以 warn 呈现，因此要继续看明细</w:t>
            </w:r>
          </w:p>
        </w:tc>
      </w:tr>
      <w:tr w14:paraId="60D0D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4BC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autonomousReady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42B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在 runtimeReady 基础上进一步要求 Sec runtime 包和隔离条件满足</w:t>
            </w:r>
          </w:p>
        </w:tc>
      </w:tr>
      <w:tr w14:paraId="76D72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AC5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demoReady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30E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用于比赛演示的固定工具子集满足诊断；不等于 11 个 Adapter 全部就绪</w:t>
            </w:r>
          </w:p>
        </w:tc>
      </w:tr>
      <w:tr w14:paraId="295E3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927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model-connectivity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C0F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诊断不会主动发起付费模型请求，通常显示未主动探测/警告</w:t>
            </w:r>
          </w:p>
        </w:tc>
      </w:tr>
    </w:tbl>
    <w:p w14:paraId="33167E77">
      <w:pPr>
        <w:spacing w:after="20"/>
      </w:pPr>
    </w:p>
    <w:p w14:paraId="4A6C55E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5.2 诊断通过后还需要做什么</w:t>
      </w:r>
    </w:p>
    <w:p w14:paraId="757F0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1. 发送一次低成本、无敏感数据的普通 Session 请求，实际验证模型/AI 网关 DNS、TLS、鉴权和模型 ID。</w:t>
      </w:r>
    </w:p>
    <w:p w14:paraId="5437B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2. 若准备使用 autonomous，再确认隔离来源和一次性授权；不要只看“工具都装了”。</w:t>
      </w:r>
    </w:p>
    <w:p w14:paraId="72C84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3. 若要演示 Web 安全能力，额外确认 httpx、ffuf、nuclei 是否在当前镜像可用，因为 demoReady 的固定工具子集不覆盖全部 Web Adapter。</w:t>
      </w:r>
    </w:p>
    <w:p w14:paraId="57553D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4. 若要导出报告，确认报告目录可写，并先用小任务测试一次 Markdown/JSON 输出。</w:t>
      </w:r>
    </w:p>
    <w:p w14:paraId="4F58718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6. 五分钟快速开始</w:t>
      </w:r>
    </w:p>
    <w:p w14:paraId="6BCA7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下面是一条不依赖复杂手工命令的推荐流程。用户通过自然语言告诉 Agent 做什么，同时要求它按 SecAgent 的结构化工具顺序推进。</w:t>
      </w:r>
    </w:p>
    <w:p w14:paraId="53D1409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6.1 建议直接输入的第一段任务说明</w:t>
      </w:r>
    </w:p>
    <w:p w14:paraId="4657C96A">
      <w:pPr>
        <w:pStyle w:val="164"/>
        <w:shd w:val="clear" w:fill="F3F4F6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目标：分析本地受控 Web fixture 的可观测服务和基础安全信号。</w:t>
      </w:r>
      <w:r>
        <w:rPr>
          <w:rFonts w:hint="eastAsia" w:ascii="华文楷体" w:hAnsi="华文楷体" w:eastAsia="华文楷体" w:cs="华文楷体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sz w:val="24"/>
          <w:szCs w:val="24"/>
        </w:rPr>
        <w:t>资产：http://127.0.0.1:8080，仅此地址。</w:t>
      </w:r>
      <w:r>
        <w:rPr>
          <w:rFonts w:hint="eastAsia" w:ascii="华文楷体" w:hAnsi="华文楷体" w:eastAsia="华文楷体" w:cs="华文楷体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sz w:val="24"/>
          <w:szCs w:val="24"/>
        </w:rPr>
        <w:t>授权：这是本地一次性实验环境，允许 HTTP 请求、服务发现和只读枚举。</w:t>
      </w:r>
      <w:r>
        <w:rPr>
          <w:rFonts w:hint="eastAsia" w:ascii="华文楷体" w:hAnsi="华文楷体" w:eastAsia="华文楷体" w:cs="华文楷体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sz w:val="24"/>
          <w:szCs w:val="24"/>
        </w:rPr>
        <w:t>限制：禁止访问外网；禁止破坏性操作；总工具调用不超过 20 次。</w:t>
      </w:r>
      <w:r>
        <w:rPr>
          <w:rFonts w:hint="eastAsia" w:ascii="华文楷体" w:hAnsi="华文楷体" w:eastAsia="华文楷体" w:cs="华文楷体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sz w:val="24"/>
          <w:szCs w:val="24"/>
        </w:rPr>
        <w:t>成功判据：给出可复现证据、验证记录和最终报告。</w:t>
      </w:r>
      <w:r>
        <w:rPr>
          <w:rFonts w:hint="eastAsia" w:ascii="华文楷体" w:hAnsi="华文楷体" w:eastAsia="华文楷体" w:cs="华文楷体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sz w:val="24"/>
          <w:szCs w:val="24"/>
        </w:rPr>
        <w:t>请先调用 security_intake，再展示 security_scope，未设置 scope 前不要执行网络工具。</w:t>
      </w:r>
    </w:p>
    <w:p w14:paraId="2E781DD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6.2 推荐的对话式操作语句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819"/>
        <w:gridCol w:w="2948"/>
      </w:tblGrid>
      <w:tr w14:paraId="2727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BBC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阶段</w:t>
            </w:r>
          </w:p>
        </w:tc>
        <w:tc>
          <w:tcPr>
            <w:tcW w:w="481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237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你可以对 Agent 这样说</w:t>
            </w:r>
          </w:p>
        </w:tc>
        <w:tc>
          <w:tcPr>
            <w:tcW w:w="294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69E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期望结构化动作</w:t>
            </w:r>
          </w:p>
        </w:tc>
      </w:tr>
      <w:tr w14:paraId="1A43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213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任务建立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8BE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“先把任务结构化，告诉我还有哪些授权待确认。”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6AC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security_intake</w:t>
            </w:r>
          </w:p>
        </w:tc>
      </w:tr>
      <w:tr w14:paraId="2074D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EDC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范围授权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7FC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“把 127.0.0.1:8080 设为本次唯一授权目标，来源是本地一次性 fixture。”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674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security_scope action=set</w:t>
            </w:r>
          </w:p>
        </w:tc>
      </w:tr>
      <w:tr w14:paraId="1D351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6F7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环境检查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353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“先查看当前策略和候选，不要执行。”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A58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security_state / security_candidates</w:t>
            </w:r>
          </w:p>
        </w:tc>
      </w:tr>
      <w:tr w14:paraId="504D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78E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规划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935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“生成至少两个合理候选并用 security_plan 选择。”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90A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security_plan</w:t>
            </w:r>
          </w:p>
        </w:tc>
      </w:tr>
      <w:tr w14:paraId="3DBFB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740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执行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7BA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“按已记录 decision 通过 Gateway 执行，不要直接 Shell 拼接。”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098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security_execute / security_web_execute</w:t>
            </w:r>
          </w:p>
        </w:tc>
      </w:tr>
      <w:tr w14:paraId="27D0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98E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复核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94E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“把结果加入 Evidence，创建 hypothesis 并验证；不足就保持 insufficient。”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C78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security_evidence</w:t>
            </w:r>
          </w:p>
        </w:tc>
      </w:tr>
      <w:tr w14:paraId="67C5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EDB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报告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C0A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“生成脱敏 Markdown 报告，同时给我 JSON 结构。”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FC7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security_report</w:t>
            </w:r>
          </w:p>
        </w:tc>
      </w:tr>
    </w:tbl>
    <w:p w14:paraId="2D408AD6">
      <w:pPr>
        <w:spacing w:after="20"/>
      </w:pPr>
    </w:p>
    <w:p w14:paraId="29EABCF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7. 创建任务：security_intake</w:t>
      </w:r>
    </w:p>
    <w:p w14:paraId="5B730D6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7.1 任务应包含六类信息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969"/>
        <w:gridCol w:w="3515"/>
      </w:tblGrid>
      <w:tr w14:paraId="5CCCB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0AB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要素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654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示例</w:t>
            </w:r>
          </w:p>
        </w:tc>
        <w:tc>
          <w:tcPr>
            <w:tcW w:w="351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9CA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为什么重要</w:t>
            </w:r>
          </w:p>
        </w:tc>
      </w:tr>
      <w:tr w14:paraId="7FD96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F94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Goal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DCE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识别本地 Web fixture 的可观测面并验证响应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268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用于 Planner 计算目标相关性</w:t>
            </w:r>
          </w:p>
        </w:tc>
      </w:tr>
      <w:tr w14:paraId="0AF9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1FF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Scenario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CC9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web-security / penetration-test / incident-response / vulnerability-research / reverse-engineering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A67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影响候选能力与专家 Agent 推荐</w:t>
            </w:r>
          </w:p>
        </w:tc>
      </w:tr>
      <w:tr w14:paraId="404E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DC5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Assets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5DB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日志、OpenAPI、图片、PDF、本地二进制等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FEC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成为任务资产，但不自动成为网络授权</w:t>
            </w:r>
          </w:p>
        </w:tc>
      </w:tr>
      <w:tr w14:paraId="45423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5E7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Constraints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E66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只读、禁止外网、时间、工具、禁止行为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A09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成为执行边界和规划条件</w:t>
            </w:r>
          </w:p>
        </w:tc>
      </w:tr>
      <w:tr w14:paraId="1C69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2B1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Success Criteria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655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至少两类独立证据/可复现响应/形成报告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B85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用于判断任务何时完成</w:t>
            </w:r>
          </w:p>
        </w:tc>
      </w:tr>
      <w:tr w14:paraId="6A7D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28F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Declared Authorization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D76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本地 fixture/主办方授权编号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FD9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记录任务声明；网络执行仍以 security_scope 为准</w:t>
            </w:r>
          </w:p>
        </w:tc>
      </w:tr>
    </w:tbl>
    <w:p w14:paraId="5C72DAF0">
      <w:pPr>
        <w:spacing w:after="20"/>
      </w:pPr>
    </w:p>
    <w:p w14:paraId="1170248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7.2 结构化调用示意</w:t>
      </w:r>
    </w:p>
    <w:p w14:paraId="2CBA48A8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security_intake {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goal: "分析受控 Web fixture 的可观测面",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scenario: "web-security",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constraints: ["只访问 loopback", "禁止破坏性操作"],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successCriteria: ["形成可复现证据", "输出脱敏报告"],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declaredAuthorization: ["本地一次性 fixture"],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assets: []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}</w:t>
      </w:r>
    </w:p>
    <w:p w14:paraId="62D16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任务创建后，应先检查 pendingConfirmations。若其中仍有授权、目标或关键约束未明确，不应继续进入网络执行。</w:t>
      </w:r>
    </w:p>
    <w:p w14:paraId="3E5210E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7.3 输入文件注意事项</w:t>
      </w:r>
    </w:p>
    <w:p w14:paraId="762B427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JSON/OpenAPI：适合承载结构化接口任务；系统有更明确的格式识别/检查。</w:t>
      </w:r>
    </w:p>
    <w:p w14:paraId="476C4C0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YAML：当前版本会识别为 YAML，但不应把“已识别”理解成完整语义验证；关键配置建议人工复核。</w:t>
      </w:r>
    </w:p>
    <w:p w14:paraId="2596FA4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PDF/图片：作为资产注册，语义理解依赖 Agent/模型；其中出现的 IP/域名不自动加入 Scope。</w:t>
      </w:r>
    </w:p>
    <w:p w14:paraId="4CD9826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压缩包：优先使用 zip/tar，并限制文件数量、总大小、单文件大小与嵌套深度；不要依赖当前版本直接处理 7z。</w:t>
      </w:r>
    </w:p>
    <w:p w14:paraId="30695B7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8. 设置授权范围：security_scope</w:t>
      </w:r>
    </w:p>
    <w:p w14:paraId="50AF630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8.1 Scope 是执行授权，不是任务备注</w:t>
      </w:r>
    </w:p>
    <w:p w14:paraId="6A574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SecurityTaskSpec 中的授权声明用于记录用户意图，而真正约束网络工具的是 SecurityScope。设置 Scope 时必须同时提供 targets 和 authorizationSource。</w:t>
      </w:r>
    </w:p>
    <w:p w14:paraId="126AA8B8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security_scope {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action: "set",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targets: ["127.0.0.1", "http://127.0.0.1:8080/"],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authorizationSource: "本地一次性 Compose fixture",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note: "仅限本次演示，不扩展到其他地址"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}</w:t>
      </w:r>
    </w:p>
    <w:p w14:paraId="1046A9F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8.2 支持的 Scope 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118"/>
        <w:gridCol w:w="4649"/>
      </w:tblGrid>
      <w:tr w14:paraId="58F4E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727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类型</w:t>
            </w:r>
          </w:p>
        </w:tc>
        <w:tc>
          <w:tcPr>
            <w:tcW w:w="311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3B4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示例</w:t>
            </w:r>
          </w:p>
        </w:tc>
        <w:tc>
          <w:tcPr>
            <w:tcW w:w="46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633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匹配说明</w:t>
            </w:r>
          </w:p>
        </w:tc>
      </w:tr>
      <w:tr w14:paraId="039A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DF6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host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4AD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fixture-web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4C6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主机名/受控服务名</w:t>
            </w:r>
          </w:p>
        </w:tc>
      </w:tr>
      <w:tr w14:paraId="1690D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760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domain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1DA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lab.example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2E4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可匹配受控域名及其子域范围</w:t>
            </w:r>
          </w:p>
        </w:tc>
      </w:tr>
      <w:tr w14:paraId="7C2C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BEA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ipv4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C03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10.20.30.17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731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单 IPv4 地址</w:t>
            </w:r>
          </w:p>
        </w:tc>
      </w:tr>
      <w:tr w14:paraId="375E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EC4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cidr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4D4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10.20.30.0/24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B4D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当前实现为 IPv4 CIDR</w:t>
            </w:r>
          </w:p>
        </w:tc>
      </w:tr>
      <w:tr w14:paraId="31EC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45B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url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54F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http://127.0.0.1:8080/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A8A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URL 目标；适合限定 Web 入口</w:t>
            </w:r>
          </w:p>
        </w:tc>
      </w:tr>
    </w:tbl>
    <w:p w14:paraId="220A9178">
      <w:pPr>
        <w:spacing w:after="20"/>
      </w:pPr>
    </w:p>
    <w:p w14:paraId="63E68BD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8.3 先查看，再修改</w:t>
      </w:r>
    </w:p>
    <w:p w14:paraId="748EAA4D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# CLI 快速查看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/sec-scope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# 或要求 Agent 调用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security_scope { action: "show" }</w:t>
      </w:r>
    </w:p>
    <w:p w14:paraId="3B388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当网络工具被 Scope 阻断时，优先检查目标规范化结果、授权来源和当前任务边界。不要因为“这是我知道的测试地址”就绕开结构化 Scope。</w:t>
      </w:r>
    </w:p>
    <w:p w14:paraId="35B5B49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9. 策略、隔离与 autonomous 授权</w:t>
      </w:r>
    </w:p>
    <w:p w14:paraId="48629DD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9.1 选择策略</w:t>
      </w:r>
    </w:p>
    <w:p w14:paraId="46FA9D7B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/sec-mode strict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/sec-mode competition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/sec-mode autonomous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061"/>
        <w:gridCol w:w="1134"/>
        <w:gridCol w:w="1134"/>
        <w:gridCol w:w="2665"/>
      </w:tblGrid>
      <w:tr w14:paraId="7110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626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策略</w:t>
            </w:r>
          </w:p>
        </w:tc>
        <w:tc>
          <w:tcPr>
            <w:tcW w:w="306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CBB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典型用途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FAD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P2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304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P3</w:t>
            </w:r>
          </w:p>
        </w:tc>
        <w:tc>
          <w:tcPr>
            <w:tcW w:w="266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24B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越界目标</w:t>
            </w:r>
          </w:p>
        </w:tc>
      </w:tr>
      <w:tr w14:paraId="26E47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3FC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strict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D75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日常/初次使用/目标不完全确定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357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确认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7EB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确认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F07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阻断</w:t>
            </w:r>
          </w:p>
        </w:tc>
      </w:tr>
      <w:tr w14:paraId="777E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1E4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competition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301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受控竞赛/明确授权场景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C8E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允许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5E8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确认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F3E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阻断</w:t>
            </w:r>
          </w:p>
        </w:tc>
      </w:tr>
      <w:tr w14:paraId="6E70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BF0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528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已隔离、已做一次性授权的连续搜索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49B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允许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547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允许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712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高危审计警告；系统级边界仍生效</w:t>
            </w:r>
          </w:p>
        </w:tc>
      </w:tr>
    </w:tbl>
    <w:p w14:paraId="79D07B8A">
      <w:pPr>
        <w:spacing w:after="20"/>
      </w:pPr>
    </w:p>
    <w:p w14:paraId="724719F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9.2 autonomous 的正确启用顺序</w:t>
      </w:r>
    </w:p>
    <w:p w14:paraId="7648D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1. 先运行 /sec-doctor，确认隔离与运行环境信息。</w:t>
      </w:r>
    </w:p>
    <w:p w14:paraId="6979E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2. 在交互式 CLI/TUI 中运行 /sec-authorize [隔离来源]，阅读确认框。默认来源为 pi-sandbox。</w:t>
      </w:r>
    </w:p>
    <w:p w14:paraId="5C820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3. 授权成功后再运行 /sec-mode autonomous。</w:t>
      </w:r>
    </w:p>
    <w:p w14:paraId="4FE9B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4. 使用 security_budget 设置明确上限；现场演示不建议用过大的 maxSteps。</w:t>
      </w:r>
    </w:p>
    <w:p w14:paraId="6BB54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5. 运行 security_autonomous inspect 或 step，确认行为符合预期，再考虑 run。</w:t>
      </w:r>
    </w:p>
    <w:p w14:paraId="138BD0C3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/sec-authorize pi-sandbox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/sec-mode autonomous</w:t>
      </w:r>
    </w:p>
    <w:p w14:paraId="4AF599B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</w:p>
    <w:p w14:paraId="405A1BC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10. 认识工具、候选与预算</w:t>
      </w:r>
    </w:p>
    <w:p w14:paraId="1546E1D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10.1 查看工具 Registry</w:t>
      </w:r>
    </w:p>
    <w:p w14:paraId="25BC4FC7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/sec-tools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/sec-audit 20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/sec-state</w:t>
      </w:r>
    </w:p>
    <w:p w14:paraId="309E2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/sec-tools 展示工具目录的基础风险、类别和 Scope 模式；security_tools 还能按 category/capability 筛选并查看前置/后置条件。注意：工具目录可能包含比当前已实现 Adapter 更多的元数据，实际执行以已注册 Adapter 为准。</w:t>
      </w:r>
    </w:p>
    <w:p w14:paraId="7ACF4F1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10.2 当前可审计执行 Adapter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9"/>
        <w:gridCol w:w="1928"/>
        <w:gridCol w:w="2835"/>
        <w:gridCol w:w="2494"/>
      </w:tblGrid>
      <w:tr w14:paraId="33F2D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745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执行入口</w:t>
            </w:r>
          </w:p>
        </w:tc>
        <w:tc>
          <w:tcPr>
            <w:tcW w:w="192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A7E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工具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F44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主要用途</w:t>
            </w:r>
          </w:p>
        </w:tc>
        <w:tc>
          <w:tcPr>
            <w:tcW w:w="249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CAB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用户应关注</w:t>
            </w:r>
          </w:p>
        </w:tc>
      </w:tr>
      <w:tr w14:paraId="319C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823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security_execute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561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nmap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7FB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网络发现/服务观察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F42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目标在 Scope；参数结构化</w:t>
            </w:r>
          </w:p>
        </w:tc>
      </w:tr>
      <w:tr w14:paraId="16DB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1DE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security_execute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027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curl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322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 请求/最小验证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315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URL/主机在 Scope；响应状态</w:t>
            </w:r>
          </w:p>
        </w:tc>
      </w:tr>
      <w:tr w14:paraId="25D9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535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security_execute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243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file / strings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653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本地工件识别/字符串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779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只读；路径位于工作区</w:t>
            </w:r>
          </w:p>
        </w:tc>
      </w:tr>
      <w:tr w14:paraId="25FD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8FD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security_web_execute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107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httpx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7CB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 指纹/技术信息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346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目标在 Scope；JSON 结果</w:t>
            </w:r>
          </w:p>
        </w:tc>
      </w:tr>
      <w:tr w14:paraId="3923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8E4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security_web_execute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A9C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ffuf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DDF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受限内容发现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858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wordlist 必须在工作区；速率/线程受限</w:t>
            </w:r>
          </w:p>
        </w:tc>
      </w:tr>
      <w:tr w14:paraId="73614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62E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security_web_execute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69D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nuclei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5CB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签名模板安全信号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79E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只用受控内置签名模板；输出仍需验证</w:t>
            </w:r>
          </w:p>
        </w:tc>
      </w:tr>
      <w:tr w14:paraId="0B4E4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A6F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security_static_execute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382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readelf / objdump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57D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ELF/静态逆向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9D6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只读，不执行样本</w:t>
            </w:r>
          </w:p>
        </w:tc>
      </w:tr>
      <w:tr w14:paraId="4746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6CD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security_static_execute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C8F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binwalk / exiftool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D41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签名/元数据/嵌入内容观察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9C8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默认不自动提取/执行</w:t>
            </w:r>
          </w:p>
        </w:tc>
      </w:tr>
    </w:tbl>
    <w:p w14:paraId="08119F58">
      <w:pPr>
        <w:spacing w:after="20"/>
      </w:pPr>
    </w:p>
    <w:p w14:paraId="0895B73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10.3 security_candidates：先生成“可运行候选”</w:t>
      </w:r>
    </w:p>
    <w:p w14:paraId="5728ECB3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security_candidates { action: "generate" }</w:t>
      </w:r>
    </w:p>
    <w:p w14:paraId="6E305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候选生成器会根据 scenario、stage、Scope、是否存在本地 artifact、已有成功/失败历史和当前 Adapter Registry，产生确定性候选。它的价值是减少“模型凭空编命令”的风险。</w:t>
      </w:r>
    </w:p>
    <w:p w14:paraId="3A4D5B8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10.4 security_budget：给连续任务设置上限</w:t>
      </w:r>
    </w:p>
    <w:p w14:paraId="018E4F9B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security_budget {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action: "set",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maxDecisions: 20,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maxToolCalls: 40,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 xml:space="preserve">  maxReplans: 8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}</w:t>
      </w:r>
    </w:p>
    <w:p w14:paraId="1CC14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默认状态中预算上限为 40 次 decision、120 次 tool-call、12 次 replan；用户可以为一次短演示设置更小值。截止时间也可通过 deadlineAt 设置。</w:t>
      </w:r>
    </w:p>
    <w:p w14:paraId="1322C28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11. 规划与重规划：security_plan</w:t>
      </w:r>
    </w:p>
    <w:p w14:paraId="792C047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11.1 为什么不能只说“下一步执行 nmap”</w:t>
      </w:r>
    </w:p>
    <w:p w14:paraId="05AE9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有多个合理动作时，SecAgent 需要保存候选集合、评分、选中动作和依据。security_plan 会记录 decision，并在检测到失败、矛盾、停滞、漂移或预算压力时附带 replan 记录。</w:t>
      </w:r>
    </w:p>
    <w:p w14:paraId="727787E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11.2 用户看 Plan 时重点看什么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3118"/>
        <w:gridCol w:w="4422"/>
      </w:tblGrid>
      <w:tr w14:paraId="045D0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A32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字段</w:t>
            </w:r>
          </w:p>
        </w:tc>
        <w:tc>
          <w:tcPr>
            <w:tcW w:w="311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6E6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含义</w:t>
            </w:r>
          </w:p>
        </w:tc>
        <w:tc>
          <w:tcPr>
            <w:tcW w:w="442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C4A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用户复核问题</w:t>
            </w:r>
          </w:p>
        </w:tc>
      </w:tr>
      <w:tr w14:paraId="63B7C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69E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goal / stage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727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当前任务目标和阶段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82D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这个动作与当前目标一致吗？</w:t>
            </w:r>
          </w:p>
        </w:tc>
      </w:tr>
      <w:tr w14:paraId="66517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FA4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candidates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239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2～8 个候选动作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C50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是否存在更低风险、更高信息增益的替代？</w:t>
            </w:r>
          </w:p>
        </w:tc>
      </w:tr>
      <w:tr w14:paraId="368B3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4E4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selectedActionId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57E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最终选中动作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D56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为什么选它？</w:t>
            </w:r>
          </w:p>
        </w:tc>
      </w:tr>
      <w:tr w14:paraId="1FB2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66A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rationale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EB2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选择理由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905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理由是否来自当前状态，而非泛泛描述？</w:t>
            </w:r>
          </w:p>
        </w:tc>
      </w:tr>
      <w:tr w14:paraId="0C93E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F81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expectedResult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E38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期望得到的证据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ABA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执行完后如何判断成功/失败？</w:t>
            </w:r>
          </w:p>
        </w:tc>
      </w:tr>
      <w:tr w14:paraId="2D72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B6D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replanId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B5F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若有，关联重规划原因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655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是否真的换了能力路径，而不是只换工具名？</w:t>
            </w:r>
          </w:p>
        </w:tc>
      </w:tr>
      <w:tr w14:paraId="3E56F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D25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budgetSnapshot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21A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当时剩余预算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B9F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任务是否接近预算耗尽？</w:t>
            </w:r>
          </w:p>
        </w:tc>
      </w:tr>
    </w:tbl>
    <w:p w14:paraId="5F0D701E">
      <w:pPr>
        <w:spacing w:after="20"/>
      </w:pPr>
    </w:p>
    <w:p w14:paraId="6D02795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12. 执行工具：Security Gateway 的用户视角</w:t>
      </w:r>
    </w:p>
    <w:p w14:paraId="1323D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用户不需要自己拼接 Shell。计划中的动作应通过对应的 execution tool 进入 SecurityExecutionGateway，由 Gateway 统一检查 decision 绑定、Adapter、受保护路径、Scope、autonomous 前置条件、风险/策略、预算、工具可用性和前置条件，再执行并写回 Evidence/Audit。</w:t>
      </w:r>
    </w:p>
    <w:p w14:paraId="41FD8832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76072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039E">
      <w:pPr>
        <w:pStyle w:val="166"/>
      </w:pPr>
      <w:r>
        <w:rPr>
          <w:rFonts w:ascii="Times New Roman" w:hAnsi="Times New Roman" w:eastAsia="宋体" w:cs="Times New Roman"/>
        </w:rPr>
        <w:t>图 4  Security Gateway 的 ALLOW / CONFIRM / BLOCK 用户可见语义</w:t>
      </w:r>
    </w:p>
    <w:p w14:paraId="675A4D2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12.1 三种结果如何处理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458"/>
        <w:gridCol w:w="4479"/>
      </w:tblGrid>
      <w:tr w14:paraId="73B0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D40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结果</w:t>
            </w:r>
          </w:p>
        </w:tc>
        <w:tc>
          <w:tcPr>
            <w:tcW w:w="345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E05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看到什么</w:t>
            </w:r>
          </w:p>
        </w:tc>
        <w:tc>
          <w:tcPr>
            <w:tcW w:w="447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FD8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正确动作</w:t>
            </w:r>
          </w:p>
        </w:tc>
      </w:tr>
      <w:tr w14:paraId="071EB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D4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ALLOW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961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工具执行，返回结构化结果并写审计/证据</w:t>
            </w:r>
          </w:p>
        </w:tc>
        <w:tc>
          <w:tcPr>
            <w:tcW w:w="44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80F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查看退出码、结果摘要、Evidence 与 decision 完成状态</w:t>
            </w:r>
          </w:p>
        </w:tc>
      </w:tr>
      <w:tr w14:paraId="7C32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E75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CONFIRM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B25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出现 P2/P3 交互确认框</w:t>
            </w:r>
          </w:p>
        </w:tc>
        <w:tc>
          <w:tcPr>
            <w:tcW w:w="44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A20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阅读目标、风险和 Scope；不确定就拒绝</w:t>
            </w:r>
          </w:p>
        </w:tc>
      </w:tr>
      <w:tr w14:paraId="4FBC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A0D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BLOCK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B9F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返回明确拒绝原因，工具不应执行</w:t>
            </w:r>
          </w:p>
        </w:tc>
        <w:tc>
          <w:tcPr>
            <w:tcW w:w="44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DD3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修正 Scope、授权、Policy、Budget 或前置条件；不要绕过</w:t>
            </w:r>
          </w:p>
        </w:tc>
      </w:tr>
    </w:tbl>
    <w:p w14:paraId="18227C4D">
      <w:pPr>
        <w:spacing w:after="20"/>
      </w:pPr>
    </w:p>
    <w:p w14:paraId="3030D34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12.2 常见拒绝原因</w:t>
      </w:r>
    </w:p>
    <w:p w14:paraId="3595FA9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 decisionId 不存在、不是 pending，或计划选择的工具与执行工具不一致。</w:t>
      </w:r>
    </w:p>
    <w:p w14:paraId="27AD837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目标不在 Scope，或目标无法从结构化输入中可靠解析。</w:t>
      </w:r>
    </w:p>
    <w:p w14:paraId="790FAD0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请求访问受保护凭证路径，例如 ~/.ssh、~/.aws、~/.gnupg、~/.kube/config、/etc/shadow 等。</w:t>
      </w:r>
    </w:p>
    <w:p w14:paraId="78B53FD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P3 高风险命令需要确认；无交互 UI 时会 fail closed。</w:t>
      </w:r>
    </w:p>
    <w:p w14:paraId="5F3D256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工具缺失、版本检查失败、输入前置条件不满足或预算耗尽。</w:t>
      </w:r>
    </w:p>
    <w:p w14:paraId="272C298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本地工件路径不在工作目录，或请求执行/修改未知样本。</w:t>
      </w:r>
    </w:p>
    <w:p w14:paraId="2EB3C0B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13. 连续自主搜索：security_autonomous</w:t>
      </w:r>
    </w:p>
    <w:p w14:paraId="600565F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13.1 三种动作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969"/>
        <w:gridCol w:w="4046"/>
      </w:tblGrid>
      <w:tr w14:paraId="4D931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A06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action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08A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作用</w:t>
            </w:r>
          </w:p>
        </w:tc>
        <w:tc>
          <w:tcPr>
            <w:tcW w:w="374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FFE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推荐使用时机</w:t>
            </w:r>
          </w:p>
        </w:tc>
      </w:tr>
      <w:tr w14:paraId="7301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ED0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inspect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E84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只查看当前 snapshot，不推进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426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启用 autonomous 前、异常恢复后、答辩解释状态时</w:t>
            </w:r>
          </w:p>
        </w:tc>
      </w:tr>
      <w:tr w14:paraId="018BB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6B8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step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4B1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只推进一个状态转换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7FF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第一次演示、想逐步观察 Candidate→Plan→Gateway→Evidence 时</w:t>
            </w:r>
          </w:p>
        </w:tc>
      </w:tr>
      <w:tr w14:paraId="1CFF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21B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91D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连续推进多个步骤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AD3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环境已验证、预算明确、需要展示连续闭环时</w:t>
            </w:r>
          </w:p>
        </w:tc>
      </w:tr>
    </w:tbl>
    <w:p w14:paraId="3CF9F05F">
      <w:pPr>
        <w:spacing w:after="20"/>
      </w:pPr>
    </w:p>
    <w:p w14:paraId="2CA559BB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security_autonomous { action: "inspect" }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security_autonomous { action: "step" }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security_autonomous { action: "run", maxSteps: 6, stopOnExecutionFailure: false }</w:t>
      </w:r>
    </w:p>
    <w:p w14:paraId="58845EA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13.2 maxSteps 与停止条件</w:t>
      </w:r>
    </w:p>
    <w:p w14:paraId="1D8EC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maxSteps 允许 1～50。短演示建议从 1 个 step 开始，再使用较小的 run；连续任务还会受到 decision/tool-call/replan 预算、Observer、前置条件和终止判断限制。</w:t>
      </w:r>
    </w:p>
    <w:p w14:paraId="4788B4F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13.3 发生失败时</w:t>
      </w:r>
    </w:p>
    <w:p w14:paraId="21C1A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ascii="Times New Roman" w:hAnsi="Times New Roman" w:eastAsia="宋体" w:cs="Times New Roman"/>
          <w:sz w:val="20"/>
          <w:szCs w:val="22"/>
          <w:lang w:val="en-US" w:eastAsia="en-US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若 stopOnExecutionFailure=false，失败本身会进入状态并可能触发重规划；系统应从能力族层面避免重复失败策略。用户应在 Audit、Replan 和 Observer 中看到“为什么换策略”。</w:t>
      </w:r>
      <w:r>
        <w:rPr>
          <w:rFonts w:ascii="Times New Roman" w:hAnsi="Times New Roman" w:eastAsia="宋体" w:cs="Times New Roman"/>
        </w:rPr>
        <w:br w:type="page"/>
      </w:r>
    </w:p>
    <w:p w14:paraId="68667F5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14. 证据、验证与 Finding</w:t>
      </w:r>
    </w:p>
    <w:p w14:paraId="505CE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把“工具输出”和“安全结论”明确分开。用户最重要的复核任务，是确认结论是否真正经过 Evidence Graph 和 Verification，而不是被扫描器文本或模型措辞直接升级。</w:t>
      </w:r>
    </w:p>
    <w:p w14:paraId="3D0268C2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669280" cy="3293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8D76">
      <w:pPr>
        <w:pStyle w:val="166"/>
      </w:pPr>
      <w:r>
        <w:rPr>
          <w:rFonts w:ascii="Times New Roman" w:hAnsi="Times New Roman" w:eastAsia="宋体" w:cs="Times New Roman"/>
        </w:rPr>
        <w:t>图 5  从工具输出到 verified finding 的证据复核链</w:t>
      </w:r>
    </w:p>
    <w:p w14:paraId="10CDC85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14.1 security_evidence 的常用动作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72"/>
        <w:gridCol w:w="3969"/>
      </w:tblGrid>
      <w:tr w14:paraId="66A8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7B96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action</w:t>
            </w:r>
          </w:p>
        </w:tc>
        <w:tc>
          <w:tcPr>
            <w:tcW w:w="357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22BA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用途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F8B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关键字段</w:t>
            </w:r>
          </w:p>
        </w:tc>
      </w:tr>
      <w:tr w14:paraId="7902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1A03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add_evidence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ED1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记录观察/工件/指标/发现信号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038B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summary、source、sha256、confidence、decisionId</w:t>
            </w:r>
          </w:p>
        </w:tc>
      </w:tr>
      <w:tr w14:paraId="55C69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59E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add_hypothesis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DD02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提出待验证命题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37B3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summary</w:t>
            </w:r>
          </w:p>
        </w:tc>
      </w:tr>
      <w:tr w14:paraId="5027F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610E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link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3DFC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建立证据之间或证据→假设关系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F13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supports / contradicts / derived-from / duplicates / verifies</w:t>
            </w:r>
          </w:p>
        </w:tc>
      </w:tr>
      <w:tr w14:paraId="18B0F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F62E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verify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9A51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对某个 hypothesis 运行验证器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DBE9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toHypothesisId</w:t>
            </w:r>
          </w:p>
        </w:tc>
      </w:tr>
      <w:tr w14:paraId="25487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04DF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create_finding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C139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把已验证 hypothesis 晋升为 Finding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3B27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verificationId、summary、severity、remediation</w:t>
            </w:r>
          </w:p>
        </w:tc>
      </w:tr>
      <w:tr w14:paraId="6BEC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DA60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show_graph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7E7A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查看图和完整性错误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5576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无需额外字段</w:t>
            </w:r>
          </w:p>
        </w:tc>
      </w:tr>
    </w:tbl>
    <w:p w14:paraId="7EEF314C">
      <w:pPr>
        <w:spacing w:after="20"/>
      </w:pPr>
    </w:p>
    <w:p w14:paraId="4E76618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14.2 如何判断“证据够不够”</w:t>
      </w:r>
    </w:p>
    <w:p w14:paraId="0931790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默认验证器倾向要求至少两个独立来源，单一扫描器即使置信度很高也不应直接成为 confirmed finding。</w:t>
      </w:r>
    </w:p>
    <w:p w14:paraId="3E1D53C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带 SHA-256 的高置信直接工件事实可在满足条件时作为更强的直接验证依据。</w:t>
      </w:r>
    </w:p>
    <w:p w14:paraId="49ACFCE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存在 contradictions 时应保留冲突，不要删除与结论不一致的 Evidence。</w:t>
      </w:r>
    </w:p>
    <w:p w14:paraId="6161BE8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Finding 应能回指 verificationId 和 evidenceIds，并说明严重度与 remediation。</w:t>
      </w:r>
    </w:p>
    <w:p w14:paraId="05471BB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15. 专业 Agent 协同</w:t>
      </w:r>
    </w:p>
    <w:p w14:paraId="79D4022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15.1 六类专业 Agent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973"/>
      </w:tblGrid>
      <w:tr w14:paraId="4166D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7A0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Agent</w:t>
            </w:r>
          </w:p>
        </w:tc>
        <w:tc>
          <w:tcPr>
            <w:tcW w:w="697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8C0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推荐任务</w:t>
            </w:r>
          </w:p>
        </w:tc>
      </w:tr>
      <w:tr w14:paraId="5B61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8E4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sec-recon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7EE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目标侦察、服务发现、低风险信息收集</w:t>
            </w:r>
          </w:p>
        </w:tc>
      </w:tr>
      <w:tr w14:paraId="2D252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4D4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sec-web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D20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 表面、HTTP 行为、受控 Web 安全分析</w:t>
            </w:r>
          </w:p>
        </w:tc>
      </w:tr>
      <w:tr w14:paraId="60AAE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49D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sec-analysis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BDD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通用安全分析、证据关联、复杂材料归纳</w:t>
            </w:r>
          </w:p>
        </w:tc>
      </w:tr>
      <w:tr w14:paraId="0C51D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B18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sec-response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8BB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应急响应、事件处置优先级、证据梳理</w:t>
            </w:r>
          </w:p>
        </w:tc>
      </w:tr>
      <w:tr w14:paraId="3F10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AD9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sec-vuln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FDA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漏洞研究、验证思路、风险与修复建议</w:t>
            </w:r>
          </w:p>
        </w:tc>
      </w:tr>
      <w:tr w14:paraId="31E28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E41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sec-reverse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986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逆向、ELF/工件静态分析、证据整理</w:t>
            </w:r>
          </w:p>
        </w:tc>
      </w:tr>
    </w:tbl>
    <w:p w14:paraId="625DDAA5">
      <w:pPr>
        <w:spacing w:after="20"/>
      </w:pPr>
    </w:p>
    <w:p w14:paraId="4C9E520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15.2 两种委派方式</w:t>
      </w:r>
    </w:p>
    <w:p w14:paraId="6B2E7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security_delegate 只创建 bounded specialist task envelope 和推荐；security_delegate_run 会通过 pi-subagents 真正启动受限子会话，并把结构化证据提案重新合并到父 SecurityState。</w:t>
      </w:r>
    </w:p>
    <w:p w14:paraId="5BC93831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security_delegate { objective: "复核当前 Web 证据是否支持配置风险假设" }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security_delegate_run { objective: "对本地 ELF 做只读静态分析并给出证据提案" }</w:t>
      </w:r>
    </w:p>
    <w:p w14:paraId="32BBEDC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15.3 子 Agent 不具备什么权力</w:t>
      </w:r>
    </w:p>
    <w:p w14:paraId="16051A5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不能扩大父任务 Scope 或授权来源。</w:t>
      </w:r>
    </w:p>
    <w:p w14:paraId="6EDDA76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不能独立绕开 SecurityExecutionGateway 执行网络/副作用工具。</w:t>
      </w:r>
    </w:p>
    <w:p w14:paraId="04BE6FC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不能替父 Agent 把未验证信号直接确认为 Finding。</w:t>
      </w:r>
    </w:p>
    <w:p w14:paraId="4FE91BD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受父任务的工具白名单、时间、轮次、并发和全局 Tool Budget 约束。</w:t>
      </w:r>
      <w:r>
        <w:rPr>
          <w:rFonts w:ascii="Times New Roman" w:hAnsi="Times New Roman" w:eastAsia="宋体" w:cs="Times New Roman"/>
        </w:rPr>
        <w:br w:type="page"/>
      </w:r>
    </w:p>
    <w:p w14:paraId="4809650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16. 典型场景操作剧本</w:t>
      </w:r>
    </w:p>
    <w:p w14:paraId="58794CC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16.1 Web 安全场景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4082"/>
        <w:gridCol w:w="4365"/>
      </w:tblGrid>
      <w:tr w14:paraId="403F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58F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步骤</w:t>
            </w:r>
          </w:p>
        </w:tc>
        <w:tc>
          <w:tcPr>
            <w:tcW w:w="408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3A4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用户动作</w:t>
            </w:r>
          </w:p>
        </w:tc>
        <w:tc>
          <w:tcPr>
            <w:tcW w:w="436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92B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系统应体现的能力</w:t>
            </w:r>
          </w:p>
        </w:tc>
      </w:tr>
      <w:tr w14:paraId="6D1D2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B0C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AA1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security_intake 建立 web-security 任务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7F3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目标/约束/成功判据清晰</w:t>
            </w:r>
          </w:p>
        </w:tc>
      </w:tr>
      <w:tr w14:paraId="043FA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6D0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088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security_scope 仅授权目标 URL/主机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34A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网络边界明确</w:t>
            </w:r>
          </w:p>
        </w:tc>
      </w:tr>
      <w:tr w14:paraId="56C1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224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3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655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security_candidates + security_plan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E2B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在 httpx/curl/nuclei 等能力间做可解释选择</w:t>
            </w:r>
          </w:p>
        </w:tc>
      </w:tr>
      <w:tr w14:paraId="53CB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4D0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595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security_web_execute 或 autonomous step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4E9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受控参数、Scope/Policy/Gateway 审计</w:t>
            </w:r>
          </w:p>
        </w:tc>
      </w:tr>
      <w:tr w14:paraId="59B2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F3D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5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8B4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把响应/指纹/模板信号写入 Evidence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42A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扫描信号与结论分离</w:t>
            </w:r>
          </w:p>
        </w:tc>
      </w:tr>
      <w:tr w14:paraId="4B3A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DF4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6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2B2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verify hypothesis；不足则继续验证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AF5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Finding Gate</w:t>
            </w:r>
          </w:p>
        </w:tc>
      </w:tr>
      <w:tr w14:paraId="08845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5EC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7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C13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导出报告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037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证据、决策、修复建议与复现路径</w:t>
            </w:r>
          </w:p>
        </w:tc>
      </w:tr>
    </w:tbl>
    <w:p w14:paraId="32BD51D0">
      <w:pPr>
        <w:spacing w:after="20"/>
      </w:pPr>
    </w:p>
    <w:p w14:paraId="35A0019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16.2 Pwn / Reverse 场景</w:t>
      </w:r>
    </w:p>
    <w:p w14:paraId="2AEC2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Pwn 在当前设计中作为 CTF 能力叠加路径，通常复用 reverse/vulnerability 能力。对本地 ELF，推荐先 file → strings/readelf → objdump，再根据证据选择后续静态分析；不要直接执行未知二进制。</w:t>
      </w:r>
    </w:p>
    <w:p w14:paraId="197835AC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请把 sample.bin 作为本地工件建立任务。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先用 file 和 readelf 检查格式与缓解措施，再用 objdump/strings 获取静态证据。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禁止执行样本；每条关键结论都附 SHA-256 和来源。</w:t>
      </w:r>
    </w:p>
    <w:p w14:paraId="4B27128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16.3 Incident Response / Forensics</w:t>
      </w:r>
    </w:p>
    <w:p w14:paraId="72779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将日志、目录清单、磁盘/图片样本或元数据作为资产，优先构建时间线、来源、哈希、指标和冲突关系。Forensics 侧可使用 file/binwalk/exiftool 做只读签名与元数据观察；不要默认自动提取嵌入内容，更不要执行提取结果。</w:t>
      </w:r>
    </w:p>
    <w:p w14:paraId="18341DA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16.4 CTF 能力叠加</w:t>
      </w:r>
    </w:p>
    <w:p w14:paraId="7DF87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security_ctf 支持 web、pwn、reverse、crypto、forensics、misc、unknown 的 challenge profiling。它只决定推荐能力族，不会创建独立的“CTF Agent”。其中 crypto/unknown 若没有确定性执行 Adapter，系统应明确报告能力缺口，而不是虚构任意计算工具。</w:t>
      </w:r>
    </w:p>
    <w:p w14:paraId="5E9E46E2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security_ctf { action: "profile", kind: "pwn", description: "本地授权 ELF challenge" }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security_ctf { action: "capabilities", kind: "pwn" }</w:t>
      </w:r>
    </w:p>
    <w:p w14:paraId="7F7A476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16.5 Killchain / 多阶段场景</w:t>
      </w:r>
    </w:p>
    <w:p w14:paraId="7B52A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多阶段任务重点不是“工具越多越好”，而是让 Stage、Decision、Evidence 和 Replan 连起来。可从网络发现进入 Web 枚举，再进入验证；当某一步失败或矛盾时，Observer/Replanner 应改变能力策略而不是无限重试。</w:t>
      </w:r>
    </w:p>
    <w:p w14:paraId="4207714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17. 受控基准与失败注入</w:t>
      </w:r>
    </w:p>
    <w:p w14:paraId="74408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security_benchmark 是项目自测工具，用于检查当前 trace 或运行确定性受控 harness。它不是主办方正式成绩，也不代表真实漏洞发现率。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2381"/>
      </w:tblGrid>
      <w:tr w14:paraId="318B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094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action</w:t>
            </w:r>
          </w:p>
        </w:tc>
        <w:tc>
          <w:tcPr>
            <w:tcW w:w="510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23D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作用</w:t>
            </w:r>
          </w:p>
        </w:tc>
        <w:tc>
          <w:tcPr>
            <w:tcW w:w="238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359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是否修改当前真实任务</w:t>
            </w:r>
          </w:p>
        </w:tc>
      </w:tr>
      <w:tr w14:paraId="2C9B8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C27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inspect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499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给当前运行计算项目内部 readiness/score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D34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读取当前 state/audit</w:t>
            </w:r>
          </w:p>
        </w:tc>
      </w:tr>
      <w:tr w14:paraId="3EBB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F06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catalog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891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列出 Web/Pwn/Reverse/Forensics/Killchain 五类基准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9E6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不执行外部工具</w:t>
            </w:r>
          </w:p>
        </w:tc>
      </w:tr>
      <w:tr w14:paraId="76DF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1DB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controlled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86D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用某场景定义评估当前 trace 是否满足 invariant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FE5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评估当前 trace</w:t>
            </w:r>
          </w:p>
        </w:tc>
      </w:tr>
      <w:tr w14:paraId="313D3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69E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run-controlled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E3F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在隔离的 deterministic harness 中跑完整受控场景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821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使用 controlled executor，不等价于真实环境</w:t>
            </w:r>
          </w:p>
        </w:tc>
      </w:tr>
    </w:tbl>
    <w:p w14:paraId="2C14CAD2">
      <w:pPr>
        <w:spacing w:after="20"/>
      </w:pPr>
    </w:p>
    <w:p w14:paraId="2A9D358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18. Web 安全工作区与报告导出</w:t>
      </w:r>
    </w:p>
    <w:p w14:paraId="77A71FC5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760720" cy="3435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D442">
      <w:pPr>
        <w:pStyle w:val="166"/>
      </w:pPr>
      <w:r>
        <w:rPr>
          <w:rFonts w:ascii="Times New Roman" w:hAnsi="Times New Roman" w:eastAsia="宋体" w:cs="Times New Roman"/>
        </w:rPr>
        <w:t>图 3  Pi Web 安全工作区的阅读地图（概念示意）</w:t>
      </w:r>
    </w:p>
    <w:p w14:paraId="2C96F03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18.1 Web 中优先看的 7 个区域</w:t>
      </w:r>
    </w:p>
    <w:p w14:paraId="6C469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1. Task &amp; Stage：任务是否正确理解，当前处于理解/规划/侦察/分析/验证/响应/报告哪个阶段。</w:t>
      </w:r>
    </w:p>
    <w:p w14:paraId="3B9E7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2. Scope &amp; Authorization：目标是否完整、授权来源是否真实。</w:t>
      </w:r>
    </w:p>
    <w:p w14:paraId="683D2F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3. Policy &amp; Isolation：当前策略、隔离来源和 autonomous authorization。</w:t>
      </w:r>
    </w:p>
    <w:p w14:paraId="07813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4. Decisions &amp; Replans：候选、评分、选中动作、失败与重规划。</w:t>
      </w:r>
    </w:p>
    <w:p w14:paraId="7FFE3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5. Evidence / Hypothesis / Verification / Finding：事实、假设、验证和结论是否分层。</w:t>
      </w:r>
    </w:p>
    <w:p w14:paraId="28E16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6. Audit：每次工具调用是否在 Scope 内、风险级别、是否确认/阻断、结果摘要。</w:t>
      </w:r>
    </w:p>
    <w:p w14:paraId="50EC66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7. Diagnostics / Report：当前环境就绪情况和最终 Markdown/JSON 输出。</w:t>
      </w:r>
    </w:p>
    <w:p w14:paraId="7250CEB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18.2 报告生成</w:t>
      </w:r>
    </w:p>
    <w:p w14:paraId="6586E13C">
      <w:pPr>
        <w:pStyle w:val="164"/>
        <w:shd w:val="clear" w:fill="F3F4F6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# CLI 预览，默认 Markdown；传 json 可看 JSON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/sec-report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/sec-report json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# Agent Tool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security_report { format: "markdown", includeAudit: true, redact: true }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security_report { format: "json", includeAudit: true, redact: true }</w:t>
      </w:r>
    </w:p>
    <w:p w14:paraId="01159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security_report 默认支持 Markdown/JSON，并可选择是否包含 Audit、限制审计条数和是否脱敏。即使使用 redact=true，外部提交前仍应人工复核 API Key、Cookie、Authorization header、私钥、真实客户数据和不在授权范围内的目标。</w:t>
      </w:r>
    </w:p>
    <w:p w14:paraId="1C341D8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18.3 高级 Web/Profile API（仅运维/集成使用）</w:t>
      </w:r>
    </w:p>
    <w:p w14:paraId="11157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Web Profile API 可以读取 Sec Session 的 agentMode/profileState，并接受 set_scope、set_isolation、authorize_autonomous、set_policy、append_event、run_diagnostics、build_report 等结构化命令。普通操作者优先使用界面和 Agent Tool；不要手工修改 Session JSONL。</w:t>
      </w:r>
    </w:p>
    <w:p w14:paraId="0E1DE6DA">
      <w:r>
        <w:rPr>
          <w:rFonts w:ascii="Times New Roman" w:hAnsi="Times New Roman" w:eastAsia="宋体" w:cs="Times New Roman"/>
        </w:rPr>
        <w:br w:type="page"/>
      </w:r>
    </w:p>
    <w:p w14:paraId="65A779B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附录 A：CLI/TUI 斜杠命令速查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3458"/>
        <w:gridCol w:w="2948"/>
      </w:tblGrid>
      <w:tr w14:paraId="51DB0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7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08F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命令</w:t>
            </w:r>
          </w:p>
        </w:tc>
        <w:tc>
          <w:tcPr>
            <w:tcW w:w="345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EBA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用途</w:t>
            </w:r>
          </w:p>
        </w:tc>
        <w:tc>
          <w:tcPr>
            <w:tcW w:w="294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C41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备注</w:t>
            </w:r>
          </w:p>
        </w:tc>
      </w:tr>
      <w:tr w14:paraId="534AA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3EB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/sec-state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EBA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查看当前 SecAgent State 摘要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30C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目标、Stage、Policy、Isolation、Scope、Evidence/Decision 数量</w:t>
            </w:r>
          </w:p>
        </w:tc>
      </w:tr>
      <w:tr w14:paraId="45621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87E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/sec-scope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8FB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查看当前授权范围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37C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只读查看；设置范围应通过 security_scope</w:t>
            </w:r>
          </w:p>
        </w:tc>
      </w:tr>
      <w:tr w14:paraId="734C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57F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/sec-tools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E3E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 Tool Registry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A1C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展示基础风险、类别、Scope 模式</w:t>
            </w:r>
          </w:p>
        </w:tc>
      </w:tr>
      <w:tr w14:paraId="1F34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E41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/sec-audit [N]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79F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查看最近 N 条工具审计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FF6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默认 20，最大 100</w:t>
            </w:r>
          </w:p>
        </w:tc>
      </w:tr>
      <w:tr w14:paraId="777B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01D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/sec-mode strict|competition|autonomous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9E8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切换安全策略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883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 前先完成隔离/授权</w:t>
            </w:r>
          </w:p>
        </w:tc>
      </w:tr>
      <w:tr w14:paraId="03B0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0B2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/sec-authorize [source]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50D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记录隔离来源和一次性 autonomous 授权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1C1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需要交互式 UI；默认 source=pi-sandbox</w:t>
            </w:r>
          </w:p>
        </w:tc>
      </w:tr>
      <w:tr w14:paraId="18F7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0ED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/sec-report [json]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416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预览 Markdown/JSON 报告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771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外发前仍需人工脱敏复核</w:t>
            </w:r>
          </w:p>
        </w:tc>
      </w:tr>
      <w:tr w14:paraId="41A3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E74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/sec-doctor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A17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运行环境诊断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2C8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不会主动探测模型连通性</w:t>
            </w:r>
          </w:p>
        </w:tc>
      </w:tr>
      <w:tr w14:paraId="20A3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620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/agent-mode coding|sec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2F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在同 cwd 新建不同 Profile 的空白 Session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F67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不会改写/复制当前 Session 历史</w:t>
            </w:r>
          </w:p>
        </w:tc>
      </w:tr>
    </w:tbl>
    <w:p w14:paraId="2803DDDF">
      <w:pPr>
        <w:spacing w:after="20"/>
      </w:pPr>
    </w:p>
    <w:p w14:paraId="72E489F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附录 B：Agent Tool 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5"/>
        <w:gridCol w:w="3226"/>
        <w:gridCol w:w="4442"/>
      </w:tblGrid>
      <w:tr w14:paraId="0995A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2AC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Tool</w:t>
            </w:r>
          </w:p>
        </w:tc>
        <w:tc>
          <w:tcPr>
            <w:tcW w:w="419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253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用户目的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D2F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典型 action/入口</w:t>
            </w:r>
          </w:p>
        </w:tc>
      </w:tr>
      <w:tr w14:paraId="1A86B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29F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security_intake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744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建立结构化任务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715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goal/scenario/assets/constraints/successCriteria</w:t>
            </w:r>
          </w:p>
        </w:tc>
      </w:tr>
      <w:tr w14:paraId="5560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04E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security_state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96A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查看或更新基础状态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4F5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show / set_stage / add_evidence / complete_decision 等；competition 下部分动作会被引导到 security_evidence</w:t>
            </w:r>
          </w:p>
        </w:tc>
      </w:tr>
      <w:tr w14:paraId="3D54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844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security_scope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463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查看/设置授权范围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80B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show / set</w:t>
            </w:r>
          </w:p>
        </w:tc>
      </w:tr>
      <w:tr w14:paraId="2D04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BF7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security_tools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4A1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查看工具元数据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8F4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list / show</w:t>
            </w:r>
          </w:p>
        </w:tc>
      </w:tr>
      <w:tr w14:paraId="54679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297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security_candidates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72A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生成确定性可运行候选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75E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generate</w:t>
            </w:r>
          </w:p>
        </w:tc>
      </w:tr>
      <w:tr w14:paraId="08AB2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276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security_plan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4DC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选择下一动作/记录 replan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4C5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传入 2～8 个候选</w:t>
            </w:r>
          </w:p>
        </w:tc>
      </w:tr>
      <w:tr w14:paraId="0A38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3DF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security_budget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3E8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查看/设置预算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9E5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show / set</w:t>
            </w:r>
          </w:p>
        </w:tc>
      </w:tr>
      <w:tr w14:paraId="4515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032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security_execute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97B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执行 nmap/curl/file/strings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458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需要 decisionId + input</w:t>
            </w:r>
          </w:p>
        </w:tc>
      </w:tr>
      <w:tr w14:paraId="288A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8F7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security_web_execute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1D3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执行 httpx/ffuf/nuclei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ACF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需要 decisionId + input</w:t>
            </w:r>
          </w:p>
        </w:tc>
      </w:tr>
      <w:tr w14:paraId="298B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C08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security_static_execute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8C3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执行 readelf/objdump/binwalk/exiftool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12E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需要 decisionId + input</w:t>
            </w:r>
          </w:p>
        </w:tc>
      </w:tr>
      <w:tr w14:paraId="50F9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51D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security_evidence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767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建立证据图并验证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6B7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add_evidence / add_hypothesis / link / verify / create_finding / show_graph</w:t>
            </w:r>
          </w:p>
        </w:tc>
      </w:tr>
      <w:tr w14:paraId="33C95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800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security_observer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CB8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查看停滞/漂移/终止信号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F49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inspect</w:t>
            </w:r>
          </w:p>
        </w:tc>
      </w:tr>
      <w:tr w14:paraId="26F5F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41F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security_autonomous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2FD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自主推进闭环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CA9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inspect / step / run</w:t>
            </w:r>
          </w:p>
        </w:tc>
      </w:tr>
      <w:tr w14:paraId="01C7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6B1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security_ctf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EE9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CTF 能力画像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FB7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profile / show / capabilities</w:t>
            </w:r>
          </w:p>
        </w:tc>
      </w:tr>
      <w:tr w14:paraId="5D4A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789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security_delegate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0BD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生成专家委派建议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44C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objective / parentDecisionId</w:t>
            </w:r>
          </w:p>
        </w:tc>
      </w:tr>
      <w:tr w14:paraId="45D6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513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security_delegate_run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72E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运行受限专业 Agent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D1F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objective / parentDecisionId</w:t>
            </w:r>
          </w:p>
        </w:tc>
      </w:tr>
      <w:tr w14:paraId="19D5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91A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security_benchmark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E14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项目自测/受控 harness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231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inspect / catalog / controlled / run-controlled</w:t>
            </w:r>
          </w:p>
        </w:tc>
      </w:tr>
      <w:tr w14:paraId="0A46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94E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security_report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099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生成 Markdown/JSON 报告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E1A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format/includeAudit/auditLimit/redact</w:t>
            </w:r>
          </w:p>
        </w:tc>
      </w:tr>
    </w:tbl>
    <w:p w14:paraId="30B69F28">
      <w:pPr>
        <w:spacing w:after="20"/>
      </w:pPr>
    </w:p>
    <w:p w14:paraId="04CF521A">
      <w:pPr>
        <w:ind w:left="0" w:leftChars="0" w:firstLine="0" w:firstLineChars="0"/>
      </w:pPr>
    </w:p>
    <w:sectPr>
      <w:headerReference r:id="rId5" w:type="default"/>
      <w:footerReference r:id="rId6" w:type="default"/>
      <w:pgSz w:w="12240" w:h="15840"/>
      <w:pgMar w:top="1162" w:right="1191" w:bottom="1049" w:left="1276" w:header="454" w:footer="44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B400A">
    <w:pPr>
      <w:pStyle w:val="24"/>
      <w:ind w:firstLine="0"/>
      <w:jc w:val="center"/>
    </w:pPr>
    <w:r>
      <w:rPr>
        <w:rFonts w:ascii="Times New Roman" w:hAnsi="Times New Roman" w:eastAsia="宋体" w:cs="Times New Roman"/>
        <w:color w:val="787878"/>
        <w:sz w:val="16"/>
      </w:rPr>
      <w:t xml:space="preserve">SecAgent User Guide | baseline b9a3fd9a | 2026-09-02 | 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1" w:lineRule="auto"/>
      </w:pPr>
      <w:r>
        <w:separator/>
      </w:r>
    </w:p>
  </w:footnote>
  <w:footnote w:type="continuationSeparator" w:id="1">
    <w:p>
      <w:pPr>
        <w:spacing w:before="0" w:after="0" w:line="33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33D9C">
    <w:pPr>
      <w:pStyle w:val="25"/>
      <w:ind w:firstLine="0"/>
      <w:jc w:val="right"/>
    </w:pPr>
    <w:r>
      <w:rPr>
        <w:rFonts w:ascii="Times New Roman" w:hAnsi="Times New Roman" w:eastAsia="宋体" w:cs="Times New Roman"/>
        <w:color w:val="696969"/>
        <w:sz w:val="16"/>
      </w:rPr>
      <w:t>XH-202609 | SecAgent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86AC00E"/>
    <w:multiLevelType w:val="singleLevel"/>
    <w:tmpl w:val="686AC00E"/>
    <w:lvl w:ilvl="0" w:tentative="0">
      <w:start w:val="1"/>
      <w:numFmt w:val="bullet"/>
      <w:suff w:val="space"/>
      <w:lvlText w:val=""/>
      <w:lvlJc w:val="left"/>
      <w:pPr>
        <w:ind w:left="778" w:leftChars="0" w:hanging="564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163A31"/>
    <w:rsid w:val="1D4F1A4B"/>
    <w:rsid w:val="278D3841"/>
    <w:rsid w:val="38BD5663"/>
    <w:rsid w:val="472073C4"/>
    <w:rsid w:val="5B4377F2"/>
    <w:rsid w:val="721C16E6"/>
    <w:rsid w:val="7FD8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1" w:lineRule="auto"/>
      <w:ind w:firstLine="420"/>
    </w:pPr>
    <w:rPr>
      <w:rFonts w:ascii="Times New Roman" w:hAnsi="Times New Roman" w:eastAsia="宋体" w:cs="Times New Roman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244A73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80"/>
      <w:outlineLvl w:val="2"/>
    </w:pPr>
    <w:rPr>
      <w:rFonts w:asciiTheme="majorHAnsi" w:hAnsiTheme="majorHAnsi" w:eastAsiaTheme="majorEastAsia" w:cstheme="majorBidi"/>
      <w:b/>
      <w:bCs/>
      <w:color w:val="334E6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40" w:after="8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60" w:after="80" w:line="247" w:lineRule="auto"/>
      <w:ind w:left="238" w:right="125" w:firstLine="0"/>
    </w:pPr>
    <w:rPr>
      <w:rFonts w:ascii="Consolas" w:hAnsi="Consolas" w:eastAsia="宋体" w:cs="Consolas"/>
      <w:sz w:val="16"/>
      <w:szCs w:val="22"/>
      <w:lang w:val="en-US" w:eastAsia="en-US" w:bidi="ar-SA"/>
    </w:rPr>
  </w:style>
  <w:style w:type="paragraph" w:customStyle="1" w:styleId="165">
    <w:name w:val="Note Box"/>
    <w:qFormat/>
    <w:uiPriority w:val="0"/>
    <w:pPr>
      <w:spacing w:before="60" w:after="100" w:line="276" w:lineRule="auto"/>
      <w:ind w:left="238" w:right="238" w:firstLine="0"/>
    </w:pPr>
    <w:rPr>
      <w:rFonts w:ascii="Times New Roman" w:hAnsi="Times New Roman" w:eastAsia="宋体" w:cs="Times New Roman"/>
      <w:sz w:val="18"/>
      <w:szCs w:val="22"/>
      <w:lang w:val="en-US" w:eastAsia="en-US" w:bidi="ar-SA"/>
    </w:rPr>
  </w:style>
  <w:style w:type="paragraph" w:customStyle="1" w:styleId="166">
    <w:name w:val="Caption CN"/>
    <w:qFormat/>
    <w:uiPriority w:val="0"/>
    <w:pPr>
      <w:spacing w:after="120" w:line="276" w:lineRule="auto"/>
      <w:ind w:firstLine="0"/>
      <w:jc w:val="center"/>
    </w:pPr>
    <w:rPr>
      <w:rFonts w:ascii="Times New Roman" w:hAnsi="Times New Roman" w:eastAsia="宋体" w:cs="Times New Roman"/>
      <w:color w:val="5A5A5A"/>
      <w:sz w:val="17"/>
      <w:szCs w:val="22"/>
      <w:lang w:val="en-US" w:eastAsia="en-US" w:bidi="ar-SA"/>
    </w:rPr>
  </w:style>
  <w:style w:type="paragraph" w:customStyle="1" w:styleId="167">
    <w:name w:val="Mini Heading"/>
    <w:qFormat/>
    <w:uiPriority w:val="0"/>
    <w:pPr>
      <w:spacing w:before="80" w:after="40" w:line="276" w:lineRule="auto"/>
      <w:ind w:firstLine="0"/>
    </w:pPr>
    <w:rPr>
      <w:rFonts w:ascii="Times New Roman" w:hAnsi="Times New Roman" w:eastAsia="宋体" w:cs="Times New Roman"/>
      <w:b/>
      <w:color w:val="334E68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1542</Words>
  <Characters>2419</Characters>
  <Lines>0</Lines>
  <Paragraphs>0</Paragraphs>
  <TotalTime>185</TotalTime>
  <ScaleCrop>false</ScaleCrop>
  <LinksUpToDate>false</LinksUpToDate>
  <CharactersWithSpaces>2570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李朝阳</dc:creator>
  <cp:lastModifiedBy>李朝阳</cp:lastModifiedBy>
  <dcterms:modified xsi:type="dcterms:W3CDTF">2026-09-03T02:44:23Z</dcterms:modified>
  <dc:subject>XH-202609 参赛材料</dc:subject>
  <dc:title>SecAgent 用户手册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eyJoZGlkIjoiZWQ1NWM5MjAwMDVjZmNlMWYyY2JiMjVkMDlhYmYzYmQiLCJ1c2VySWQiOiIxNzY4NDg3Nzg4In0=</vt:lpwstr>
  </property>
  <property fmtid="{D5CDD505-2E9C-101B-9397-08002B2CF9AE}" pid="3" name="KSOProductBuildVer">
    <vt:lpwstr>2052-12.1.0.28043</vt:lpwstr>
  </property>
  <property fmtid="{D5CDD505-2E9C-101B-9397-08002B2CF9AE}" pid="4" name="ICV">
    <vt:lpwstr>71D252E8D7F4477586E2BE413130BFA0_12</vt:lpwstr>
  </property>
</Properties>
</file>