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armor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armor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94987" w14:textId="77777777" w:rsidR="00A65D7F" w:rsidRDefault="00A65D7F" w:rsidP="002238C0">
      <w:pPr>
        <w:spacing w:after="0" w:line="240" w:lineRule="auto"/>
      </w:pPr>
      <w:r>
        <w:separator/>
      </w:r>
    </w:p>
  </w:endnote>
  <w:endnote w:type="continuationSeparator" w:id="0">
    <w:p w14:paraId="68123658" w14:textId="77777777" w:rsidR="00A65D7F" w:rsidRDefault="00A65D7F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09CD8" w14:textId="77777777" w:rsidR="00A65D7F" w:rsidRDefault="00A65D7F" w:rsidP="002238C0">
      <w:pPr>
        <w:spacing w:after="0" w:line="240" w:lineRule="auto"/>
      </w:pPr>
      <w:r>
        <w:separator/>
      </w:r>
    </w:p>
  </w:footnote>
  <w:footnote w:type="continuationSeparator" w:id="0">
    <w:p w14:paraId="0F5F2655" w14:textId="77777777" w:rsidR="00A65D7F" w:rsidRDefault="00A65D7F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60721"/>
    <w:rsid w:val="00563B2C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E42C1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2020-06-20T09:51:00Z</dcterms:modified>
</cp:coreProperties>
</file>