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6"/>
          <w:szCs w:val="56"/>
        </w:rPr>
        <w:t xml:space="preserve">BUSINESSPLAN</w:t>
      </w:r>
    </w:p>
    <w:p>
      <w:pPr>
        <w:spacing w:after="120"/>
        <w:jc w:val="center"/>
      </w:pPr>
      <w:r>
        <w:rPr>
          <w:rFonts w:ascii="Arial" w:cs="Arial" w:eastAsia="Arial" w:hAnsi="Arial"/>
          <w:b/>
          <w:bCs/>
          <w:color w:val="2E75B6"/>
          <w:sz w:val="44"/>
          <w:szCs w:val="44"/>
        </w:rPr>
        <w:t xml:space="preserve">SwarmSight AI</w:t>
      </w:r>
    </w:p>
    <w:p>
      <w:pPr>
        <w:spacing w:after="60"/>
        <w:jc w:val="center"/>
      </w:pPr>
      <w:r>
        <w:rPr>
          <w:rFonts w:ascii="Arial" w:cs="Arial" w:eastAsia="Arial" w:hAnsi="Arial"/>
          <w:color w:val="333333"/>
          <w:sz w:val="28"/>
          <w:szCs w:val="28"/>
        </w:rPr>
        <w:t xml:space="preserve">Multi-Agent Social Simulation Engine</w:t>
      </w:r>
    </w:p>
    <w:p>
      <w:pPr>
        <w:spacing w:after="600"/>
        <w:jc w:val="center"/>
      </w:pPr>
      <w:r>
        <w:rPr>
          <w:rFonts w:ascii="Arial" w:cs="Arial" w:eastAsia="Arial" w:hAnsi="Arial"/>
          <w:i/>
          <w:iCs/>
          <w:color w:val="333333"/>
          <w:sz w:val="28"/>
          <w:szCs w:val="28"/>
        </w:rPr>
        <w:t xml:space="preserve">Brand &amp; Communications Strategy Simulator</w:t>
      </w:r>
    </w:p>
    <w:p>
      <w:pPr>
        <w:spacing w:after="40"/>
        <w:jc w:val="center"/>
      </w:pPr>
      <w:r>
        <w:rPr>
          <w:rFonts w:ascii="Arial" w:cs="Arial" w:eastAsia="Arial" w:hAnsi="Arial"/>
          <w:color w:val="666666"/>
          <w:sz w:val="22"/>
          <w:szCs w:val="22"/>
        </w:rPr>
        <w:t xml:space="preserve">Version 1.2 — April 2026</w:t>
      </w:r>
    </w:p>
    <w:p>
      <w:pPr>
        <w:spacing w:after="40"/>
        <w:jc w:val="center"/>
      </w:pPr>
      <w:r>
        <w:rPr>
          <w:rFonts w:ascii="Arial" w:cs="Arial" w:eastAsia="Arial" w:hAnsi="Arial"/>
          <w:color w:val="666666"/>
          <w:sz w:val="22"/>
          <w:szCs w:val="22"/>
        </w:rPr>
        <w:t xml:space="preserve">Standort: Zürich, Schweiz</w:t>
      </w:r>
    </w:p>
    <w:p>
      <w:pPr>
        <w:spacing w:after="40"/>
        <w:jc w:val="center"/>
      </w:pPr>
      <w:r>
        <w:rPr>
          <w:rFonts w:ascii="Arial" w:cs="Arial" w:eastAsia="Arial" w:hAnsi="Arial"/>
          <w:b/>
          <w:bCs/>
          <w:color w:val="CC0000"/>
          <w:sz w:val="22"/>
          <w:szCs w:val="22"/>
        </w:rPr>
        <w:t xml:space="preserve">VERTRAULICH</w:t>
      </w:r>
    </w:p>
    <w:p>
      <w:pPr>
        <w:sectPr>
          <w:pgSz w:w="11906" w:h="16838" w:orient="portrait"/>
          <w:pgMar w:top="1440" w:right="1440" w:bottom="1440" w:left="1440" w:header="708" w:footer="708" w:gutter="0"/>
          <w:pgNumType/>
          <w:docGrid w:linePitch="360"/>
        </w:sectPr>
      </w:pPr>
    </w:p>
    <w:p>
      <w:pPr>
        <w:pStyle w:val="Heading1"/>
        <w:spacing w:after="200" w:before="360"/>
      </w:pPr>
      <w:r>
        <w:t xml:space="preserve">Inhaltsverzeichnis</w:t>
      </w:r>
    </w:p>
    <w:p>
      <w:pPr>
        <w:spacing w:after="160"/>
      </w:pPr>
      <w:r>
        <w:rPr>
          <w:rFonts w:ascii="Arial" w:cs="Arial" w:eastAsia="Arial" w:hAnsi="Arial"/>
          <w:color w:val="333333"/>
          <w:sz w:val="22"/>
          <w:szCs w:val="22"/>
        </w:rPr>
        <w:t xml:space="preserve">1.  Executive Summary</w:t>
      </w:r>
    </w:p>
    <w:p>
      <w:pPr>
        <w:spacing w:after="160"/>
      </w:pPr>
      <w:r>
        <w:rPr>
          <w:rFonts w:ascii="Arial" w:cs="Arial" w:eastAsia="Arial" w:hAnsi="Arial"/>
          <w:color w:val="333333"/>
          <w:sz w:val="22"/>
          <w:szCs w:val="22"/>
        </w:rPr>
        <w:t xml:space="preserve">2.  Produktbeschreibung</w:t>
      </w:r>
    </w:p>
    <w:p>
      <w:pPr>
        <w:spacing w:after="160"/>
      </w:pPr>
      <w:r>
        <w:rPr>
          <w:rFonts w:ascii="Arial" w:cs="Arial" w:eastAsia="Arial" w:hAnsi="Arial"/>
          <w:color w:val="333333"/>
          <w:sz w:val="22"/>
          <w:szCs w:val="22"/>
        </w:rPr>
        <w:t xml:space="preserve">3.  Marktanalyse</w:t>
      </w:r>
    </w:p>
    <w:p>
      <w:pPr>
        <w:spacing w:after="160"/>
      </w:pPr>
      <w:r>
        <w:rPr>
          <w:rFonts w:ascii="Arial" w:cs="Arial" w:eastAsia="Arial" w:hAnsi="Arial"/>
          <w:color w:val="333333"/>
          <w:sz w:val="22"/>
          <w:szCs w:val="22"/>
        </w:rPr>
        <w:t xml:space="preserve">4.  Wettbewerbsanalyse</w:t>
      </w:r>
    </w:p>
    <w:p>
      <w:pPr>
        <w:spacing w:after="160"/>
      </w:pPr>
      <w:r>
        <w:rPr>
          <w:rFonts w:ascii="Arial" w:cs="Arial" w:eastAsia="Arial" w:hAnsi="Arial"/>
          <w:color w:val="333333"/>
          <w:sz w:val="22"/>
          <w:szCs w:val="22"/>
        </w:rPr>
        <w:t xml:space="preserve">5.  Technischer Bauplan</w:t>
      </w:r>
    </w:p>
    <w:p>
      <w:pPr>
        <w:spacing w:after="160"/>
      </w:pPr>
      <w:r>
        <w:rPr>
          <w:rFonts w:ascii="Arial" w:cs="Arial" w:eastAsia="Arial" w:hAnsi="Arial"/>
          <w:color w:val="333333"/>
          <w:sz w:val="22"/>
          <w:szCs w:val="22"/>
        </w:rPr>
        <w:t xml:space="preserve">6.  Go-to-Market-Strategie</w:t>
      </w:r>
    </w:p>
    <w:p>
      <w:pPr>
        <w:spacing w:after="160"/>
      </w:pPr>
      <w:r>
        <w:rPr>
          <w:rFonts w:ascii="Arial" w:cs="Arial" w:eastAsia="Arial" w:hAnsi="Arial"/>
          <w:color w:val="333333"/>
          <w:sz w:val="22"/>
          <w:szCs w:val="22"/>
        </w:rPr>
        <w:t xml:space="preserve">7.  Finanzplan</w:t>
      </w:r>
    </w:p>
    <w:p>
      <w:pPr>
        <w:spacing w:after="160"/>
      </w:pPr>
      <w:r>
        <w:rPr>
          <w:rFonts w:ascii="Arial" w:cs="Arial" w:eastAsia="Arial" w:hAnsi="Arial"/>
          <w:color w:val="333333"/>
          <w:sz w:val="22"/>
          <w:szCs w:val="22"/>
        </w:rPr>
        <w:t xml:space="preserve">8.  Regulatorische Anforderungen</w:t>
      </w:r>
    </w:p>
    <w:p>
      <w:pPr>
        <w:spacing w:after="160"/>
      </w:pPr>
      <w:r>
        <w:rPr>
          <w:rFonts w:ascii="Arial" w:cs="Arial" w:eastAsia="Arial" w:hAnsi="Arial"/>
          <w:color w:val="333333"/>
          <w:sz w:val="22"/>
          <w:szCs w:val="22"/>
        </w:rPr>
        <w:t xml:space="preserve">9.  Risiken &amp; Mitigationsstrategien</w:t>
      </w:r>
    </w:p>
    <w:p>
      <w:pPr>
        <w:spacing w:after="160"/>
      </w:pPr>
      <w:r>
        <w:rPr>
          <w:rFonts w:ascii="Arial" w:cs="Arial" w:eastAsia="Arial" w:hAnsi="Arial"/>
          <w:color w:val="333333"/>
          <w:sz w:val="22"/>
          <w:szCs w:val="22"/>
        </w:rPr>
        <w:t xml:space="preserve">10. Team &amp; Organisation</w:t>
      </w:r>
    </w:p>
    <w:p>
      <w:pPr>
        <w:spacing w:after="160"/>
      </w:pPr>
      <w:r>
        <w:rPr>
          <w:rFonts w:ascii="Arial" w:cs="Arial" w:eastAsia="Arial" w:hAnsi="Arial"/>
          <w:color w:val="333333"/>
          <w:sz w:val="22"/>
          <w:szCs w:val="22"/>
        </w:rPr>
        <w:t xml:space="preserve">11. Meilensteine &amp; Zeitplan</w:t>
      </w:r>
    </w:p>
    <w:p>
      <w:r>
        <w:br w:type="page"/>
      </w:r>
    </w:p>
    <w:p>
      <w:pPr>
        <w:pStyle w:val="Heading1"/>
        <w:spacing w:after="200" w:before="360"/>
      </w:pPr>
      <w:r>
        <w:t xml:space="preserve">1. Executive Summary</w:t>
      </w:r>
    </w:p>
    <w:p>
      <w:pPr>
        <w:spacing w:after="160"/>
      </w:pPr>
      <w:r>
        <w:rPr>
          <w:rFonts w:ascii="Arial" w:cs="Arial" w:eastAsia="Arial" w:hAnsi="Arial"/>
          <w:b/>
          <w:bCs/>
          <w:color w:val="333333"/>
          <w:sz w:val="22"/>
          <w:szCs w:val="22"/>
        </w:rPr>
        <w:t xml:space="preserve">SwarmSight AI</w:t>
      </w:r>
      <w:r>
        <w:rPr>
          <w:rFonts w:ascii="Arial" w:cs="Arial" w:eastAsia="Arial" w:hAnsi="Arial"/>
          <w:color w:val="333333"/>
          <w:sz w:val="22"/>
          <w:szCs w:val="22"/>
        </w:rPr>
        <w:t xml:space="preserve"> ist eine SaaS-Plattform, die Multi-Agent-Simulation mit Large Language Models (LLMs) kombiniert, um Unternehmen eine qualitative Vorhersage zu ermöglichen, wie ihre Kommunikationsstrategien in sozialen Medien aufgenommen werden — bevor sie veröffentlicht werden.</w:t>
      </w:r>
    </w:p>
    <w:p>
      <w:pPr>
        <w:spacing w:after="160"/>
      </w:pPr>
      <w:r>
        <w:rPr>
          <w:rFonts w:ascii="Arial" w:cs="Arial" w:eastAsia="Arial" w:hAnsi="Arial"/>
          <w:color w:val="333333"/>
          <w:sz w:val="22"/>
          <w:szCs w:val="22"/>
        </w:rPr>
        <w:t xml:space="preserve">Die Plattform erzeugt hunderte KI-basierte Personas, die auf simulierten Social-Media-Plattformen (Twitter/Reddit-ähnlich) miteinander interagieren. Kunden erhalten einen detaillierten Bericht über erwartete Reaktionen, Sentiment-Entwicklung, entstehende Narrative und Risiken.</w:t>
      </w:r>
    </w:p>
    <w:p>
      <w:pPr>
        <w:pStyle w:val="Heading3"/>
        <w:spacing w:after="200" w:before="360"/>
      </w:pPr>
      <w:r>
        <w:t xml:space="preserve">Drei Kern-Use-Cases</w:t>
      </w:r>
    </w:p>
    <w:p>
      <w:pPr>
        <w:pStyle w:val="ListParagraph"/>
        <w:numPr>
          <w:ilvl w:val="0"/>
          <w:numId w:val="2"/>
        </w:numPr>
        <w:spacing w:after="80"/>
      </w:pPr>
      <w:r>
        <w:rPr>
          <w:rFonts w:ascii="Arial" w:cs="Arial" w:eastAsia="Arial" w:hAnsi="Arial"/>
          <w:b/>
          <w:bCs/>
          <w:color w:val="333333"/>
          <w:sz w:val="22"/>
          <w:szCs w:val="22"/>
        </w:rPr>
        <w:t xml:space="preserve">Brand Strategy Simulation: </w:t>
      </w:r>
      <w:r>
        <w:rPr>
          <w:rFonts w:ascii="Arial" w:cs="Arial" w:eastAsia="Arial" w:hAnsi="Arial"/>
          <w:color w:val="333333"/>
          <w:sz w:val="22"/>
          <w:szCs w:val="22"/>
        </w:rPr>
        <w:t xml:space="preserve">Branding-Strategien simulieren und vergleichen (z.B. welche Content-Strategie auf TikTok besser ankommt)</w:t>
      </w:r>
    </w:p>
    <w:p>
      <w:pPr>
        <w:pStyle w:val="ListParagraph"/>
        <w:numPr>
          <w:ilvl w:val="0"/>
          <w:numId w:val="2"/>
        </w:numPr>
        <w:spacing w:after="80"/>
      </w:pPr>
      <w:r>
        <w:rPr>
          <w:rFonts w:ascii="Arial" w:cs="Arial" w:eastAsia="Arial" w:hAnsi="Arial"/>
          <w:b/>
          <w:bCs/>
          <w:color w:val="333333"/>
          <w:sz w:val="22"/>
          <w:szCs w:val="22"/>
        </w:rPr>
        <w:t xml:space="preserve">Krisenkommunikation: </w:t>
      </w:r>
      <w:r>
        <w:rPr>
          <w:rFonts w:ascii="Arial" w:cs="Arial" w:eastAsia="Arial" w:hAnsi="Arial"/>
          <w:color w:val="333333"/>
          <w:sz w:val="22"/>
          <w:szCs w:val="22"/>
        </w:rPr>
        <w:t xml:space="preserve">Statements und Ankündigungen vor Veröffentlichung testen (z.B. Shitstorm-Vorhersage bei Entlassungen)</w:t>
      </w:r>
    </w:p>
    <w:p>
      <w:pPr>
        <w:pStyle w:val="ListParagraph"/>
        <w:numPr>
          <w:ilvl w:val="0"/>
          <w:numId w:val="2"/>
        </w:numPr>
        <w:spacing w:after="80"/>
      </w:pPr>
      <w:r>
        <w:rPr>
          <w:rFonts w:ascii="Arial" w:cs="Arial" w:eastAsia="Arial" w:hAnsi="Arial"/>
          <w:b/>
          <w:bCs/>
          <w:color w:val="333333"/>
          <w:sz w:val="22"/>
          <w:szCs w:val="22"/>
        </w:rPr>
        <w:t xml:space="preserve">Policy &amp; Announcement Impact: </w:t>
      </w:r>
      <w:r>
        <w:rPr>
          <w:rFonts w:ascii="Arial" w:cs="Arial" w:eastAsia="Arial" w:hAnsi="Arial"/>
          <w:color w:val="333333"/>
          <w:sz w:val="22"/>
          <w:szCs w:val="22"/>
        </w:rPr>
        <w:t xml:space="preserve">Auswirkungen von Regulierungen, Produktänderungen oder öffentlichen Ankündigungen auf die öffentliche Diskussion vorhersagen</w:t>
      </w:r>
    </w:p>
    <w:p>
      <w:pPr>
        <w:pStyle w:val="Heading3"/>
        <w:spacing w:after="200" w:before="360"/>
      </w:pPr>
      <w:r>
        <w:t xml:space="preserve">Kernmetriken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Metrik</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Wert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Zielmarkt (adressierbarer Markt Europa)</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EUR 1.5–2.0 Mrd.</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Initialer Fokus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DACH-Raum (DE, AT, CH)</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Pricing-Modell</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SaaS-Subscription + Pay-per-Simulation</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Zielkunden</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PR-Agenturen, Corporate Communications, Brand-Agenturen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Break-even (geplant)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18–24</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Investitionsbedarf (Seed)</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200’000–350’000</w:t>
            </w:r>
          </w:p>
        </w:tc>
      </w:tr>
    </w:tbl>
    <w:p>
      <w:r>
        <w:br w:type="page"/>
      </w:r>
    </w:p>
    <w:p>
      <w:pPr>
        <w:pStyle w:val="Heading1"/>
        <w:spacing w:after="200" w:before="360"/>
      </w:pPr>
      <w:r>
        <w:t xml:space="preserve">2. Produktbeschreibung</w:t>
      </w:r>
    </w:p>
    <w:p>
      <w:pPr>
        <w:pStyle w:val="Heading2"/>
        <w:spacing w:after="200" w:before="360"/>
      </w:pPr>
      <w:r>
        <w:t xml:space="preserve">2.1 Wie es funktioniert</w:t>
      </w:r>
    </w:p>
    <w:p>
      <w:pPr>
        <w:spacing w:after="160"/>
      </w:pPr>
      <w:r>
        <w:rPr>
          <w:rFonts w:ascii="Arial" w:cs="Arial" w:eastAsia="Arial" w:hAnsi="Arial"/>
          <w:color w:val="333333"/>
          <w:sz w:val="22"/>
          <w:szCs w:val="22"/>
        </w:rPr>
        <w:t xml:space="preserve">Der Kunde gibt seine Kommunikationsstrategie, ein Statement oder eine Kampagnenidee in die Plattform ein, zusammen mit Kontext (Branche, Zielgruppe, Markt). SwarmSight AI durchläuft dann folgende Pipeline:</w:t>
      </w:r>
    </w:p>
    <w:p>
      <w:pPr>
        <w:pStyle w:val="ListParagraph"/>
        <w:numPr>
          <w:ilvl w:val="0"/>
          <w:numId w:val="3"/>
        </w:numPr>
        <w:spacing w:after="80"/>
      </w:pPr>
      <w:r>
        <w:rPr>
          <w:rFonts w:ascii="Arial" w:cs="Arial" w:eastAsia="Arial" w:hAnsi="Arial"/>
          <w:b/>
          <w:bCs/>
          <w:color w:val="333333"/>
          <w:sz w:val="22"/>
          <w:szCs w:val="22"/>
        </w:rPr>
        <w:t xml:space="preserve">Kontext-Analyse: </w:t>
      </w:r>
      <w:r>
        <w:rPr>
          <w:rFonts w:ascii="Arial" w:cs="Arial" w:eastAsia="Arial" w:hAnsi="Arial"/>
          <w:color w:val="333333"/>
          <w:sz w:val="22"/>
          <w:szCs w:val="22"/>
        </w:rPr>
        <w:t xml:space="preserve">LLM analysiert den Input und erstellt ein strukturiertes Schema mit relevanten Stakeholder-Gruppen, Meinungsführern und Beziehungen</w:t>
      </w:r>
    </w:p>
    <w:p>
      <w:pPr>
        <w:pStyle w:val="ListParagraph"/>
        <w:numPr>
          <w:ilvl w:val="0"/>
          <w:numId w:val="3"/>
        </w:numPr>
        <w:spacing w:after="80"/>
      </w:pPr>
      <w:r>
        <w:rPr>
          <w:rFonts w:ascii="Arial" w:cs="Arial" w:eastAsia="Arial" w:hAnsi="Arial"/>
          <w:b/>
          <w:bCs/>
          <w:color w:val="333333"/>
          <w:sz w:val="22"/>
          <w:szCs w:val="22"/>
        </w:rPr>
        <w:t xml:space="preserve">Persona-Generierung: </w:t>
      </w:r>
      <w:r>
        <w:rPr>
          <w:rFonts w:ascii="Arial" w:cs="Arial" w:eastAsia="Arial" w:hAnsi="Arial"/>
          <w:color w:val="333333"/>
          <w:sz w:val="22"/>
          <w:szCs w:val="22"/>
        </w:rPr>
        <w:t xml:space="preserve">100–500 KI-Agenten werden erstellt, jeder mit eigener Persönlichkeit, Demografie, Meinungen und Verhaltensmustern</w:t>
      </w:r>
    </w:p>
    <w:p>
      <w:pPr>
        <w:pStyle w:val="ListParagraph"/>
        <w:numPr>
          <w:ilvl w:val="0"/>
          <w:numId w:val="3"/>
        </w:numPr>
        <w:spacing w:after="80"/>
      </w:pPr>
      <w:r>
        <w:rPr>
          <w:rFonts w:ascii="Arial" w:cs="Arial" w:eastAsia="Arial" w:hAnsi="Arial"/>
          <w:b/>
          <w:bCs/>
          <w:color w:val="333333"/>
          <w:sz w:val="22"/>
          <w:szCs w:val="22"/>
        </w:rPr>
        <w:t xml:space="preserve">Social-Media-Simulation: </w:t>
      </w:r>
      <w:r>
        <w:rPr>
          <w:rFonts w:ascii="Arial" w:cs="Arial" w:eastAsia="Arial" w:hAnsi="Arial"/>
          <w:color w:val="333333"/>
          <w:sz w:val="22"/>
          <w:szCs w:val="22"/>
        </w:rPr>
        <w:t xml:space="preserve">Agenten interagieren auf simulierten Plattformen über 50–100 Runden (simulierte Stunden/Tage). Sie posten, kommentieren, teilen, folgen und diskutieren</w:t>
      </w:r>
    </w:p>
    <w:p>
      <w:pPr>
        <w:pStyle w:val="ListParagraph"/>
        <w:numPr>
          <w:ilvl w:val="0"/>
          <w:numId w:val="3"/>
        </w:numPr>
        <w:spacing w:after="80"/>
      </w:pPr>
      <w:r>
        <w:rPr>
          <w:rFonts w:ascii="Arial" w:cs="Arial" w:eastAsia="Arial" w:hAnsi="Arial"/>
          <w:b/>
          <w:bCs/>
          <w:color w:val="333333"/>
          <w:sz w:val="22"/>
          <w:szCs w:val="22"/>
        </w:rPr>
        <w:t xml:space="preserve">Analyse &amp; Report: </w:t>
      </w:r>
      <w:r>
        <w:rPr>
          <w:rFonts w:ascii="Arial" w:cs="Arial" w:eastAsia="Arial" w:hAnsi="Arial"/>
          <w:color w:val="333333"/>
          <w:sz w:val="22"/>
          <w:szCs w:val="22"/>
        </w:rPr>
        <w:t xml:space="preserve">Ein Report-Agent analysiert die Simulation und erstellt einen strukturierten Bericht mit Sentiment-Verlauf, Top-Narrativen, Risiken und Empfehlungen</w:t>
      </w:r>
    </w:p>
    <w:p>
      <w:pPr>
        <w:pStyle w:val="ListParagraph"/>
        <w:numPr>
          <w:ilvl w:val="0"/>
          <w:numId w:val="3"/>
        </w:numPr>
        <w:spacing w:after="80"/>
      </w:pPr>
      <w:r>
        <w:rPr>
          <w:rFonts w:ascii="Arial" w:cs="Arial" w:eastAsia="Arial" w:hAnsi="Arial"/>
          <w:b/>
          <w:bCs/>
          <w:color w:val="333333"/>
          <w:sz w:val="22"/>
          <w:szCs w:val="22"/>
        </w:rPr>
        <w:t xml:space="preserve">Interaktion: </w:t>
      </w:r>
      <w:r>
        <w:rPr>
          <w:rFonts w:ascii="Arial" w:cs="Arial" w:eastAsia="Arial" w:hAnsi="Arial"/>
          <w:color w:val="333333"/>
          <w:sz w:val="22"/>
          <w:szCs w:val="22"/>
        </w:rPr>
        <w:t xml:space="preserve">Kunde kann nach der Simulation mit einzelnen Agenten chatten, um tiefere Einblicke zu gewinnen</w:t>
      </w:r>
    </w:p>
    <w:p>
      <w:pPr>
        <w:pStyle w:val="Heading2"/>
        <w:spacing w:after="200" w:before="360"/>
      </w:pPr>
      <w:r>
        <w:t xml:space="preserve">2.2 Beispiel-Output</w:t>
      </w:r>
    </w:p>
    <w:p>
      <w:pPr>
        <w:spacing w:after="16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"KPT Krankenkasse will auf TikTok junge Zielgruppe (18–30) erreichen. Drei Strategien: A) Edutainment, B) Behind-the-Scenes, C) Provokant"</w:t>
      </w:r>
    </w:p>
    <w:p>
      <w:pPr>
        <w:spacing w:after="16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Simulation über 26 Wochen mit je 200 Agenten pro Strategie. Ergebnis: Strategie B generiert höchste Loyalty, C wächst schneller aber birgt Reputationsrisiko bei älteren Bestandskunden. Empfehlung: Mix A+B, C nur dosiert.</w:t>
      </w:r>
    </w:p>
    <w:p>
      <w:pPr>
        <w:pStyle w:val="Heading2"/>
        <w:spacing w:after="200" w:before="360"/>
      </w:pPr>
      <w:r>
        <w:t xml:space="preserve">2.3 Differenzierung</w:t>
      </w:r>
    </w:p>
    <w:p>
      <w:pPr>
        <w:spacing w:after="160"/>
      </w:pPr>
      <w:r>
        <w:rPr>
          <w:rFonts w:ascii="Arial" w:cs="Arial" w:eastAsia="Arial" w:hAnsi="Arial"/>
          <w:color w:val="333333"/>
          <w:sz w:val="22"/>
          <w:szCs w:val="22"/>
        </w:rPr>
        <w:t xml:space="preserve">SwarmSight AI ist nicht einfach "ChatGPT fragen, wie ein Post ankommt". Der Mehrwert liegt in:</w:t>
      </w:r>
    </w:p>
    <w:p>
      <w:pPr>
        <w:pStyle w:val="ListParagraph"/>
        <w:numPr>
          <w:ilvl w:val="0"/>
          <w:numId w:val="4"/>
        </w:numPr>
        <w:spacing w:after="80"/>
      </w:pPr>
      <w:r>
        <w:rPr>
          <w:rFonts w:ascii="Arial" w:cs="Arial" w:eastAsia="Arial" w:hAnsi="Arial"/>
          <w:color w:val="333333"/>
          <w:sz w:val="22"/>
          <w:szCs w:val="22"/>
        </w:rPr>
        <w:t xml:space="preserve">Emergente Gruppendynamiken: Agenten beeinflussen sich gegenseitig — Meinungen verbreiten sich, Narrative entstehen organisch</w:t>
      </w:r>
    </w:p>
    <w:p>
      <w:pPr>
        <w:pStyle w:val="ListParagraph"/>
        <w:numPr>
          <w:ilvl w:val="0"/>
          <w:numId w:val="4"/>
        </w:numPr>
        <w:spacing w:after="80"/>
      </w:pPr>
      <w:r>
        <w:rPr>
          <w:rFonts w:ascii="Arial" w:cs="Arial" w:eastAsia="Arial" w:hAnsi="Arial"/>
          <w:color w:val="333333"/>
          <w:sz w:val="22"/>
          <w:szCs w:val="22"/>
        </w:rPr>
        <w:t xml:space="preserve">Zeitliche Simulation: Beobachtung, wie sich Diskussionen über Tage/Wochen entwickeln</w:t>
      </w:r>
    </w:p>
    <w:p>
      <w:pPr>
        <w:pStyle w:val="ListParagraph"/>
        <w:numPr>
          <w:ilvl w:val="0"/>
          <w:numId w:val="4"/>
        </w:numPr>
        <w:spacing w:after="80"/>
      </w:pPr>
      <w:r>
        <w:rPr>
          <w:rFonts w:ascii="Arial" w:cs="Arial" w:eastAsia="Arial" w:hAnsi="Arial"/>
          <w:color w:val="333333"/>
          <w:sz w:val="22"/>
          <w:szCs w:val="22"/>
        </w:rPr>
        <w:t xml:space="preserve">Quantifizierbare Metriken: Sentiment-Scores, Viralitaets-Indices, Narrative-Clustering</w:t>
      </w:r>
    </w:p>
    <w:p>
      <w:pPr>
        <w:pStyle w:val="ListParagraph"/>
        <w:numPr>
          <w:ilvl w:val="0"/>
          <w:numId w:val="4"/>
        </w:numPr>
        <w:spacing w:after="80"/>
      </w:pPr>
      <w:r>
        <w:rPr>
          <w:rFonts w:ascii="Arial" w:cs="Arial" w:eastAsia="Arial" w:hAnsi="Arial"/>
          <w:color w:val="333333"/>
          <w:sz w:val="22"/>
          <w:szCs w:val="22"/>
        </w:rPr>
        <w:t xml:space="preserve">A/B/C-Testing: Mehrere Strategien parallel simulieren und vergleichen</w:t>
      </w:r>
    </w:p>
    <w:p>
      <w:pPr>
        <w:pStyle w:val="ListParagraph"/>
        <w:numPr>
          <w:ilvl w:val="0"/>
          <w:numId w:val="4"/>
        </w:numPr>
        <w:spacing w:after="80"/>
      </w:pPr>
      <w:r>
        <w:rPr>
          <w:rFonts w:ascii="Arial" w:cs="Arial" w:eastAsia="Arial" w:hAnsi="Arial"/>
          <w:color w:val="333333"/>
          <w:sz w:val="22"/>
          <w:szCs w:val="22"/>
        </w:rPr>
        <w:t xml:space="preserve">Interaktivitaet: Nach der Simulation mit Agenten sprechen ("Warum hast du negativ reagiert?")</w:t>
      </w:r>
    </w:p>
    <w:p>
      <w:r>
        <w:br w:type="page"/>
      </w:r>
    </w:p>
    <w:p>
      <w:pPr>
        <w:pStyle w:val="Heading1"/>
        <w:spacing w:after="200" w:before="360"/>
      </w:pPr>
      <w:r>
        <w:t xml:space="preserve">3. Marktanalyse</w:t>
      </w:r>
    </w:p>
    <w:p>
      <w:pPr>
        <w:pStyle w:val="Heading2"/>
        <w:spacing w:after="200" w:before="360"/>
      </w:pPr>
      <w:r>
        <w:t xml:space="preserve">3.1 Gesamtmarkt Europa</w:t>
      </w:r>
    </w:p>
    <w:p>
      <w:pPr>
        <w:spacing w:after="160"/>
      </w:pPr>
      <w:r>
        <w:rPr>
          <w:rFonts w:ascii="Arial" w:cs="Arial" w:eastAsia="Arial" w:hAnsi="Arial"/>
          <w:color w:val="333333"/>
          <w:sz w:val="22"/>
          <w:szCs w:val="22"/>
        </w:rPr>
        <w:t xml:space="preserve">SwarmSight AI operiert an der Schnittstelle mehrerer wachsender Maerkte: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026"/>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Marktsegment</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Volumen Europa 2025</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CAGR</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Quelle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PR-Dienstleistungen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EUR 14.2 Mrd.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6.25%</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Mordor Intelligence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PR-Software &amp; Media Intelligence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3.8–4.3 Mrd.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13.95%</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Global Growth Insights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Social Media Analytics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4.44 Mrd.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15.09%</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Fortune Business Insights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Social Media Management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7.82 Mrd.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19–25%</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Fortune Business Insights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Krisenkommunikation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1.68 Mrd.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9.12%</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360 Research Reports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Media Monitoring Tools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1.54 Mrd.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12.30%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Expert Market Research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Brand Strategy Consulting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1.36 Mrd.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8.22%</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HTF Market Intelligence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AI Social Media Crisis Detection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1.62 Mrd. (global)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22.82%</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Industry Reports</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b/>
          <w:bCs/>
          <w:color w:val="333333"/>
          <w:sz w:val="22"/>
          <w:szCs w:val="22"/>
        </w:rPr>
        <w:t xml:space="preserve">Total Addressable Market (TAM) Europa: </w:t>
      </w:r>
      <w:r>
        <w:rPr>
          <w:rFonts w:ascii="Arial" w:cs="Arial" w:eastAsia="Arial" w:hAnsi="Arial"/>
          <w:color w:val="333333"/>
          <w:sz w:val="22"/>
          <w:szCs w:val="22"/>
        </w:rPr>
        <w:t xml:space="preserve">Die Summe der direkt adressierbaren Segmente (PR-Software + Crisis Communication + Brand Strategy Consulting) belaeuft sich auf ca. USD 6.5–7.3 Mrd. in Europa.</w:t>
      </w:r>
    </w:p>
    <w:p>
      <w:pPr>
        <w:spacing w:after="160"/>
      </w:pPr>
      <w:r>
        <w:rPr>
          <w:rFonts w:ascii="Arial" w:cs="Arial" w:eastAsia="Arial" w:hAnsi="Arial"/>
          <w:b/>
          <w:bCs/>
          <w:color w:val="333333"/>
          <w:sz w:val="22"/>
          <w:szCs w:val="22"/>
        </w:rPr>
        <w:t xml:space="preserve">Serviceable Addressable Market (SAM): </w:t>
      </w:r>
      <w:r>
        <w:rPr>
          <w:rFonts w:ascii="Arial" w:cs="Arial" w:eastAsia="Arial" w:hAnsi="Arial"/>
          <w:color w:val="333333"/>
          <w:sz w:val="22"/>
          <w:szCs w:val="22"/>
        </w:rPr>
        <w:t xml:space="preserve">Fokus auf DACH mit ~15% des europaeischen Marktes ergibt USD 1.0–1.1 Mrd.</w:t>
      </w:r>
    </w:p>
    <w:p>
      <w:pPr>
        <w:spacing w:after="160"/>
      </w:pPr>
      <w:r>
        <w:rPr>
          <w:rFonts w:ascii="Arial" w:cs="Arial" w:eastAsia="Arial" w:hAnsi="Arial"/>
          <w:b/>
          <w:bCs/>
          <w:color w:val="333333"/>
          <w:sz w:val="22"/>
          <w:szCs w:val="22"/>
        </w:rPr>
        <w:t xml:space="preserve">Serviceable Obtainable Market (SOM): </w:t>
      </w:r>
      <w:r>
        <w:rPr>
          <w:rFonts w:ascii="Arial" w:cs="Arial" w:eastAsia="Arial" w:hAnsi="Arial"/>
          <w:color w:val="333333"/>
          <w:sz w:val="22"/>
          <w:szCs w:val="22"/>
        </w:rPr>
        <w:t xml:space="preserve">Bei realistischer Marktdurchdringung von 0.1–0.5% im DACH-Raum in den ersten 3 Jahren: USD 1–5 Mio. Jahresumsatz als Ziel.</w:t>
      </w:r>
    </w:p>
    <w:p>
      <w:pPr>
        <w:pStyle w:val="Heading2"/>
        <w:spacing w:after="200" w:before="360"/>
      </w:pPr>
      <w:r>
        <w:t xml:space="preserve">3.2 DACH-Markt im Detail</w:t>
      </w:r>
    </w:p>
    <w:p>
      <w:pPr>
        <w:pStyle w:val="Heading3"/>
        <w:spacing w:after="200" w:before="360"/>
      </w:pPr>
      <w:r>
        <w:t xml:space="preserve">Deutschland</w:t>
      </w:r>
    </w:p>
    <w:p>
      <w:pPr>
        <w:pStyle w:val="ListParagraph"/>
        <w:numPr>
          <w:ilvl w:val="0"/>
          <w:numId w:val="4"/>
        </w:numPr>
        <w:spacing w:after="80"/>
      </w:pPr>
      <w:r>
        <w:rPr>
          <w:rFonts w:ascii="Arial" w:cs="Arial" w:eastAsia="Arial" w:hAnsi="Arial"/>
          <w:color w:val="333333"/>
          <w:sz w:val="22"/>
          <w:szCs w:val="22"/>
        </w:rPr>
        <w:t xml:space="preserve">75 gerankte PR-Agenturen mit EUR 636.5 Mio. Honorarumsatz (2024, +2.5% YoY)</w:t>
      </w:r>
    </w:p>
    <w:p>
      <w:pPr>
        <w:pStyle w:val="ListParagraph"/>
        <w:numPr>
          <w:ilvl w:val="0"/>
          <w:numId w:val="4"/>
        </w:numPr>
        <w:spacing w:after="80"/>
      </w:pPr>
      <w:r>
        <w:rPr>
          <w:rFonts w:ascii="Arial" w:cs="Arial" w:eastAsia="Arial" w:hAnsi="Arial"/>
          <w:color w:val="333333"/>
          <w:sz w:val="22"/>
          <w:szCs w:val="22"/>
        </w:rPr>
        <w:t xml:space="preserve">GPRA: 36–38 Mitgliedsagenturen, ~2’800–3’100 Mitarbeitende</w:t>
      </w:r>
    </w:p>
    <w:p>
      <w:pPr>
        <w:pStyle w:val="ListParagraph"/>
        <w:numPr>
          <w:ilvl w:val="0"/>
          <w:numId w:val="4"/>
        </w:numPr>
        <w:spacing w:after="80"/>
      </w:pPr>
      <w:r>
        <w:rPr>
          <w:rFonts w:ascii="Arial" w:cs="Arial" w:eastAsia="Arial" w:hAnsi="Arial"/>
          <w:color w:val="333333"/>
          <w:sz w:val="22"/>
          <w:szCs w:val="22"/>
        </w:rPr>
        <w:t xml:space="preserve">BdKom: ~4’300 Mitglieder (Unternehmenskommunikatoren)</w:t>
      </w:r>
    </w:p>
    <w:p>
      <w:pPr>
        <w:pStyle w:val="ListParagraph"/>
        <w:numPr>
          <w:ilvl w:val="0"/>
          <w:numId w:val="4"/>
        </w:numPr>
        <w:spacing w:after="80"/>
      </w:pPr>
      <w:r>
        <w:rPr>
          <w:rFonts w:ascii="Arial" w:cs="Arial" w:eastAsia="Arial" w:hAnsi="Arial"/>
          <w:color w:val="333333"/>
          <w:sz w:val="22"/>
          <w:szCs w:val="22"/>
        </w:rPr>
        <w:t xml:space="preserve">Social-Media-Analytics-Markt Deutschland: USD 1.1 Mrd. (2026)</w:t>
      </w:r>
    </w:p>
    <w:p>
      <w:pPr>
        <w:pStyle w:val="Heading3"/>
        <w:spacing w:after="200" w:before="360"/>
      </w:pPr>
      <w:r>
        <w:t xml:space="preserve">Schweiz</w:t>
      </w:r>
    </w:p>
    <w:p>
      <w:pPr>
        <w:pStyle w:val="ListParagraph"/>
        <w:numPr>
          <w:ilvl w:val="0"/>
          <w:numId w:val="4"/>
        </w:numPr>
        <w:spacing w:after="80"/>
      </w:pPr>
      <w:r>
        <w:rPr>
          <w:rFonts w:ascii="Arial" w:cs="Arial" w:eastAsia="Arial" w:hAnsi="Arial"/>
          <w:color w:val="333333"/>
          <w:sz w:val="22"/>
          <w:szCs w:val="22"/>
        </w:rPr>
        <w:t xml:space="preserve">BPRA: 22 fuehrende Agenturen, Gesamtmarkt ca. CHF 120–130 Mio.</w:t>
      </w:r>
    </w:p>
    <w:p>
      <w:pPr>
        <w:pStyle w:val="ListParagraph"/>
        <w:numPr>
          <w:ilvl w:val="0"/>
          <w:numId w:val="4"/>
        </w:numPr>
        <w:spacing w:after="80"/>
      </w:pPr>
      <w:r>
        <w:rPr>
          <w:rFonts w:ascii="Arial" w:cs="Arial" w:eastAsia="Arial" w:hAnsi="Arial"/>
          <w:color w:val="333333"/>
          <w:sz w:val="22"/>
          <w:szCs w:val="22"/>
        </w:rPr>
        <w:t xml:space="preserve">Marktfuehrer Farner Consulting: CHF 28.1 Mio. Nettoumsatz</w:t>
      </w:r>
    </w:p>
    <w:p>
      <w:pPr>
        <w:pStyle w:val="ListParagraph"/>
        <w:numPr>
          <w:ilvl w:val="0"/>
          <w:numId w:val="4"/>
        </w:numPr>
        <w:spacing w:after="80"/>
      </w:pPr>
      <w:r>
        <w:rPr>
          <w:rFonts w:ascii="Arial" w:cs="Arial" w:eastAsia="Arial" w:hAnsi="Arial"/>
          <w:color w:val="333333"/>
          <w:sz w:val="22"/>
          <w:szCs w:val="22"/>
        </w:rPr>
        <w:t xml:space="preserve">Stundensaetze: CHF 160–200+/h fuer PR-Beratung</w:t>
      </w:r>
    </w:p>
    <w:p>
      <w:pPr>
        <w:pStyle w:val="ListParagraph"/>
        <w:numPr>
          <w:ilvl w:val="0"/>
          <w:numId w:val="4"/>
        </w:numPr>
        <w:spacing w:after="80"/>
      </w:pPr>
      <w:r>
        <w:rPr>
          <w:rFonts w:ascii="Arial" w:cs="Arial" w:eastAsia="Arial" w:hAnsi="Arial"/>
          <w:color w:val="333333"/>
          <w:sz w:val="22"/>
          <w:szCs w:val="22"/>
        </w:rPr>
        <w:t xml:space="preserve">~5’000 Kommunikationsagenturen im weiteren Sinne</w:t>
      </w:r>
    </w:p>
    <w:p>
      <w:pPr>
        <w:pStyle w:val="Heading3"/>
        <w:spacing w:after="200" w:before="360"/>
      </w:pPr>
      <w:r>
        <w:t xml:space="preserve">Oesterreich</w:t>
      </w:r>
    </w:p>
    <w:p>
      <w:pPr>
        <w:pStyle w:val="ListParagraph"/>
        <w:numPr>
          <w:ilvl w:val="0"/>
          <w:numId w:val="4"/>
        </w:numPr>
        <w:spacing w:after="80"/>
      </w:pPr>
      <w:r>
        <w:rPr>
          <w:rFonts w:ascii="Arial" w:cs="Arial" w:eastAsia="Arial" w:hAnsi="Arial"/>
          <w:color w:val="333333"/>
          <w:sz w:val="22"/>
          <w:szCs w:val="22"/>
        </w:rPr>
        <w:t xml:space="preserve">~18’600 Angestellte in Werbeagenturen</w:t>
      </w:r>
    </w:p>
    <w:p>
      <w:pPr>
        <w:pStyle w:val="ListParagraph"/>
        <w:numPr>
          <w:ilvl w:val="0"/>
          <w:numId w:val="4"/>
        </w:numPr>
        <w:spacing w:after="80"/>
      </w:pPr>
      <w:r>
        <w:rPr>
          <w:rFonts w:ascii="Arial" w:cs="Arial" w:eastAsia="Arial" w:hAnsi="Arial"/>
          <w:color w:val="333333"/>
          <w:sz w:val="22"/>
          <w:szCs w:val="22"/>
        </w:rPr>
        <w:t xml:space="preserve">79.9% der ICT-Firmen nutzen AI (zweithochste Rate in der OECD)</w:t>
      </w:r>
    </w:p>
    <w:p>
      <w:pPr>
        <w:pStyle w:val="Heading2"/>
        <w:spacing w:after="200" w:before="360"/>
      </w:pPr>
      <w:r>
        <w:t xml:space="preserve">3.3 Wachstumstreiber</w:t>
      </w:r>
    </w:p>
    <w:p>
      <w:pPr>
        <w:pStyle w:val="ListParagraph"/>
        <w:numPr>
          <w:ilvl w:val="0"/>
          <w:numId w:val="4"/>
        </w:numPr>
        <w:spacing w:after="80"/>
      </w:pPr>
      <w:r>
        <w:rPr>
          <w:rFonts w:ascii="Arial" w:cs="Arial" w:eastAsia="Arial" w:hAnsi="Arial"/>
          <w:color w:val="333333"/>
          <w:sz w:val="22"/>
          <w:szCs w:val="22"/>
        </w:rPr>
        <w:t xml:space="preserve">75% der PR-Profis nutzen bereits GenAI (verdreifacht seit 2023)</w:t>
      </w:r>
    </w:p>
    <w:p>
      <w:pPr>
        <w:pStyle w:val="ListParagraph"/>
        <w:numPr>
          <w:ilvl w:val="0"/>
          <w:numId w:val="4"/>
        </w:numPr>
        <w:spacing w:after="80"/>
      </w:pPr>
      <w:r>
        <w:rPr>
          <w:rFonts w:ascii="Arial" w:cs="Arial" w:eastAsia="Arial" w:hAnsi="Arial"/>
          <w:color w:val="333333"/>
          <w:sz w:val="22"/>
          <w:szCs w:val="22"/>
        </w:rPr>
        <w:t xml:space="preserve">88% der DACH-Kommunikatoren experimentieren mit AI-Tools</w:t>
      </w:r>
    </w:p>
    <w:p>
      <w:pPr>
        <w:pStyle w:val="ListParagraph"/>
        <w:numPr>
          <w:ilvl w:val="0"/>
          <w:numId w:val="4"/>
        </w:numPr>
        <w:spacing w:after="80"/>
      </w:pPr>
      <w:r>
        <w:rPr>
          <w:rFonts w:ascii="Arial" w:cs="Arial" w:eastAsia="Arial" w:hAnsi="Arial"/>
          <w:color w:val="333333"/>
          <w:sz w:val="22"/>
          <w:szCs w:val="22"/>
        </w:rPr>
        <w:t xml:space="preserve">Aber: Nur 6% haben ihre Organisation strukturell an AI angepasst — massive Luecke</w:t>
      </w:r>
    </w:p>
    <w:p>
      <w:pPr>
        <w:pStyle w:val="ListParagraph"/>
        <w:numPr>
          <w:ilvl w:val="0"/>
          <w:numId w:val="4"/>
        </w:numPr>
        <w:spacing w:after="80"/>
      </w:pPr>
      <w:r>
        <w:rPr>
          <w:rFonts w:ascii="Arial" w:cs="Arial" w:eastAsia="Arial" w:hAnsi="Arial"/>
          <w:color w:val="333333"/>
          <w:sz w:val="22"/>
          <w:szCs w:val="22"/>
        </w:rPr>
        <w:t xml:space="preserve">61% der europaeischen Organisationen fuehren Krisen-Audits durch</w:t>
      </w:r>
    </w:p>
    <w:p>
      <w:pPr>
        <w:pStyle w:val="ListParagraph"/>
        <w:numPr>
          <w:ilvl w:val="0"/>
          <w:numId w:val="4"/>
        </w:numPr>
        <w:spacing w:after="80"/>
      </w:pPr>
      <w:r>
        <w:rPr>
          <w:rFonts w:ascii="Arial" w:cs="Arial" w:eastAsia="Arial" w:hAnsi="Arial"/>
          <w:color w:val="333333"/>
          <w:sz w:val="22"/>
          <w:szCs w:val="22"/>
        </w:rPr>
        <w:t xml:space="preserve">Krisensimulationsaktivitaet stieg um 33% in den letzten Jahren</w:t>
      </w:r>
    </w:p>
    <w:p>
      <w:pPr>
        <w:pStyle w:val="ListParagraph"/>
        <w:numPr>
          <w:ilvl w:val="0"/>
          <w:numId w:val="4"/>
        </w:numPr>
        <w:spacing w:after="80"/>
      </w:pPr>
      <w:r>
        <w:rPr>
          <w:rFonts w:ascii="Arial" w:cs="Arial" w:eastAsia="Arial" w:hAnsi="Arial"/>
          <w:color w:val="333333"/>
          <w:sz w:val="22"/>
          <w:szCs w:val="22"/>
        </w:rPr>
        <w:t xml:space="preserve">80%+ der Unternehmen rechnen mit einer Krise im naechsten Jahr; weniger als die Haelfte fuehlt sich vorbereitet</w:t>
      </w:r>
    </w:p>
    <w:p>
      <w:r>
        <w:br w:type="page"/>
      </w:r>
    </w:p>
    <w:p>
      <w:pPr>
        <w:pStyle w:val="Heading1"/>
        <w:spacing w:after="200" w:before="360"/>
      </w:pPr>
      <w:r>
        <w:t xml:space="preserve">4. Wettbewerbsanalyse</w:t>
      </w:r>
    </w:p>
    <w:p>
      <w:pPr>
        <w:pStyle w:val="Heading2"/>
        <w:spacing w:after="200" w:before="360"/>
      </w:pPr>
      <w:r>
        <w:t xml:space="preserve">4.1 Warum Artificial Societies NICHT unsere direkte Konkurrenz ist</w:t>
      </w:r>
    </w:p>
    <w:p>
      <w:pPr>
        <w:spacing w:after="160"/>
      </w:pPr>
      <w:r>
        <w:rPr>
          <w:rFonts w:ascii="Arial" w:cs="Arial" w:eastAsia="Arial" w:hAnsi="Arial"/>
          <w:color w:val="333333"/>
          <w:sz w:val="22"/>
          <w:szCs w:val="22"/>
        </w:rPr>
        <w:t xml:space="preserve">In der ersten Version dieses Businessplans wurde Artificial Societies (societies.io, YC W25, EUR 4.5M Funding) als direkter Wettbewerber eingestuft. Nach eingehender Analyse ihres Produkts zeigt sich jedoch ein fundamentaler Architekturunterschied, der sie in eine andere Produktkategorie einordnet.</w:t>
      </w:r>
    </w:p>
    <w:p>
      <w:pPr>
        <w:pStyle w:val="Heading3"/>
        <w:spacing w:after="160" w:before="240"/>
      </w:pPr>
      <w:r>
        <w:t xml:space="preserve">Was Artificial Societies tatsaechlich tut</w:t>
      </w:r>
    </w:p>
    <w:p>
      <w:pPr>
        <w:numPr>
          <w:ilvl w:val="0"/>
          <w:numId w:val="4"/>
        </w:numPr>
        <w:spacing w:after="80"/>
      </w:pPr>
      <w:r>
        <w:rPr>
          <w:rFonts w:ascii="Arial" w:cs="Arial" w:eastAsia="Arial" w:hAnsi="Arial"/>
          <w:color w:val="333333"/>
          <w:sz w:val="22"/>
          <w:szCs w:val="22"/>
        </w:rPr>
        <w:t xml:space="preserve">Fuehrt einen einzelnen Durchlauf durch ein Social-Network-Modell (~30 Sekunden)</w:t>
      </w:r>
    </w:p>
    <w:p>
      <w:pPr>
        <w:numPr>
          <w:ilvl w:val="0"/>
          <w:numId w:val="4"/>
        </w:numPr>
        <w:spacing w:after="80"/>
      </w:pPr>
      <w:r>
        <w:rPr>
          <w:rFonts w:ascii="Arial" w:cs="Arial" w:eastAsia="Arial" w:hAnsi="Arial"/>
          <w:color w:val="333333"/>
          <w:sz w:val="22"/>
          <w:szCs w:val="22"/>
        </w:rPr>
        <w:t xml:space="preserve">Produziert aggregierte Scores + ca. 10 Content-Variationen</w:t>
      </w:r>
    </w:p>
    <w:p>
      <w:pPr>
        <w:numPr>
          <w:ilvl w:val="0"/>
          <w:numId w:val="4"/>
        </w:numPr>
        <w:spacing w:after="80"/>
      </w:pPr>
      <w:r>
        <w:rPr>
          <w:rFonts w:ascii="Arial" w:cs="Arial" w:eastAsia="Arial" w:hAnsi="Arial"/>
          <w:color w:val="333333"/>
          <w:sz w:val="22"/>
          <w:szCs w:val="22"/>
        </w:rPr>
        <w:t xml:space="preserve">Simuliert KEINE mehreren Runden von Agent-Interaktion</w:t>
      </w:r>
    </w:p>
    <w:p>
      <w:pPr>
        <w:numPr>
          <w:ilvl w:val="0"/>
          <w:numId w:val="4"/>
        </w:numPr>
        <w:spacing w:after="80"/>
      </w:pPr>
      <w:r>
        <w:rPr>
          <w:rFonts w:ascii="Arial" w:cs="Arial" w:eastAsia="Arial" w:hAnsi="Arial"/>
          <w:color w:val="333333"/>
          <w:sz w:val="22"/>
          <w:szCs w:val="22"/>
        </w:rPr>
        <w:t xml:space="preserve">Erzeugt KEINEN sichtbaren Social-Media-Feed</w:t>
      </w:r>
    </w:p>
    <w:p>
      <w:pPr>
        <w:numPr>
          <w:ilvl w:val="0"/>
          <w:numId w:val="4"/>
        </w:numPr>
        <w:spacing w:after="80"/>
      </w:pPr>
      <w:r>
        <w:rPr>
          <w:rFonts w:ascii="Arial" w:cs="Arial" w:eastAsia="Arial" w:hAnsi="Arial"/>
          <w:color w:val="333333"/>
          <w:sz w:val="22"/>
          <w:szCs w:val="22"/>
        </w:rPr>
        <w:t xml:space="preserve">Zeigt KEINE temporale Dynamik (wie sich Diskussionen ueber Wochen entwickeln)</w:t>
      </w:r>
    </w:p>
    <w:p>
      <w:pPr>
        <w:numPr>
          <w:ilvl w:val="0"/>
          <w:numId w:val="4"/>
        </w:numPr>
        <w:spacing w:after="80"/>
      </w:pPr>
      <w:r>
        <w:rPr>
          <w:rFonts w:ascii="Arial" w:cs="Arial" w:eastAsia="Arial" w:hAnsi="Arial"/>
          <w:color w:val="333333"/>
          <w:sz w:val="22"/>
          <w:szCs w:val="22"/>
        </w:rPr>
        <w:t xml:space="preserve">Erlaubt KEIN Eingreifen mid-simulation (z.B. zweites Statement nach 24h)</w:t>
      </w:r>
    </w:p>
    <w:p>
      <w:pPr>
        <w:numPr>
          <w:ilvl w:val="0"/>
          <w:numId w:val="4"/>
        </w:numPr>
        <w:spacing w:after="80"/>
      </w:pPr>
      <w:r>
        <w:rPr>
          <w:rFonts w:ascii="Arial" w:cs="Arial" w:eastAsia="Arial" w:hAnsi="Arial"/>
          <w:color w:val="333333"/>
          <w:sz w:val="22"/>
          <w:szCs w:val="22"/>
        </w:rPr>
        <w:t xml:space="preserve">Output: Statistiken und Content-Vorschlaege, NICHT lesbare Posts/Kommentare</w:t>
      </w:r>
    </w:p>
    <w:p>
      <w:pPr>
        <w:pStyle w:val="Heading3"/>
        <w:spacing w:after="160" w:before="240"/>
      </w:pPr>
      <w:r>
        <w:t xml:space="preserve">Was SwarmSight AI tut</w:t>
      </w:r>
    </w:p>
    <w:p>
      <w:pPr>
        <w:numPr>
          <w:ilvl w:val="0"/>
          <w:numId w:val="4"/>
        </w:numPr>
        <w:spacing w:after="80"/>
      </w:pPr>
      <w:r>
        <w:rPr>
          <w:rFonts w:ascii="Arial" w:cs="Arial" w:eastAsia="Arial" w:hAnsi="Arial"/>
          <w:color w:val="333333"/>
          <w:sz w:val="22"/>
          <w:szCs w:val="22"/>
        </w:rPr>
        <w:t xml:space="preserve">Fuehrt 50-100 Runden echter Agent-Interaktion via OASIS durch</w:t>
      </w:r>
    </w:p>
    <w:p>
      <w:pPr>
        <w:numPr>
          <w:ilvl w:val="0"/>
          <w:numId w:val="4"/>
        </w:numPr>
        <w:spacing w:after="80"/>
      </w:pPr>
      <w:r>
        <w:rPr>
          <w:rFonts w:ascii="Arial" w:cs="Arial" w:eastAsia="Arial" w:hAnsi="Arial"/>
          <w:color w:val="333333"/>
          <w:sz w:val="22"/>
          <w:szCs w:val="22"/>
        </w:rPr>
        <w:t xml:space="preserve">Produziert eine lesbare Timeline von Posts, Kommentaren, Shares und Follows</w:t>
      </w:r>
    </w:p>
    <w:p>
      <w:pPr>
        <w:numPr>
          <w:ilvl w:val="0"/>
          <w:numId w:val="4"/>
        </w:numPr>
        <w:spacing w:after="80"/>
      </w:pPr>
      <w:r>
        <w:rPr>
          <w:rFonts w:ascii="Arial" w:cs="Arial" w:eastAsia="Arial" w:hAnsi="Arial"/>
          <w:color w:val="333333"/>
          <w:sz w:val="22"/>
          <w:szCs w:val="22"/>
        </w:rPr>
        <w:t xml:space="preserve">Zeigt wie Narrative emergent entstehen und sich ueber Tage/Wochen verschieben</w:t>
      </w:r>
    </w:p>
    <w:p>
      <w:pPr>
        <w:numPr>
          <w:ilvl w:val="0"/>
          <w:numId w:val="4"/>
        </w:numPr>
        <w:spacing w:after="80"/>
      </w:pPr>
      <w:r>
        <w:rPr>
          <w:rFonts w:ascii="Arial" w:cs="Arial" w:eastAsia="Arial" w:hAnsi="Arial"/>
          <w:color w:val="333333"/>
          <w:sz w:val="22"/>
          <w:szCs w:val="22"/>
        </w:rPr>
        <w:t xml:space="preserve">Erlaubt das Injizieren neuer Variablen mid-simulation</w:t>
      </w:r>
    </w:p>
    <w:p>
      <w:pPr>
        <w:numPr>
          <w:ilvl w:val="0"/>
          <w:numId w:val="4"/>
        </w:numPr>
        <w:spacing w:after="80"/>
      </w:pPr>
      <w:r>
        <w:rPr>
          <w:rFonts w:ascii="Arial" w:cs="Arial" w:eastAsia="Arial" w:hAnsi="Arial"/>
          <w:color w:val="333333"/>
          <w:sz w:val="22"/>
          <w:szCs w:val="22"/>
        </w:rPr>
        <w:t xml:space="preserve">Ermoeglicht Chat mit einzelnen Agenten nach der Simulation</w:t>
      </w:r>
    </w:p>
    <w:p>
      <w:pPr>
        <w:pStyle w:val="Heading3"/>
        <w:spacing w:after="160" w:before="240"/>
      </w:pPr>
      <w:r>
        <w:t xml:space="preserve">Vergleichstabelle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w:t>
            </w:r>
          </w:p>
        </w:tc>
        <w:tc>
          <w:tcPr>
            <w:tcW w:type="dxa" w:w="32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Artificial Societies</w:t>
            </w:r>
          </w:p>
        </w:tc>
        <w:tc>
          <w:tcPr>
            <w:tcW w:type="dxa" w:w="3263"/>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SwarmSight AI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Architektur</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Single-Pass Social-Network-Modell</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Multi-Round Agent-Simulation (OASIS)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Simulationsdauer</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~30 Sekunden, 1 Durchlauf</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50-100 Runden, simulierte Tage/Wochen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Output-Format</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Aggregierte Scores + 10 Content-Variationen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Lesbarer Social-Media-Feed (Posts, Kommentare, Shares)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Temporale Dynamik</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Nein (Snapshot)</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Ja (Beobachtung ueber simulierte Zeitraeume)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Mid-Simulation-Eingriff</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Nein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 (z.B. zweites Statement nach 24h injizieren)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Chat mit Agenten</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Nein</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Ja (nach Simulation)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Agent-Interaktion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Keine (parallele Einzelbewertungen)</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Agenten beeinflussen sich gegenseitig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Emergente Narrative</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Nein</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Ja (organische Meinungsbildung)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Preis</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$40/Monat</w:t>
            </w:r>
          </w:p>
        </w:tc>
        <w:tc>
          <w:tcPr>
            <w:tcW w:type="dxa" w:w="32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99-799/Monat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Produktkategorie</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Synthetische Audience-Befragung</w:t>
            </w:r>
          </w:p>
        </w:tc>
        <w:tc>
          <w:tcPr>
            <w:tcW w:type="dxa" w:w="326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Multi-Agent Social-Media-Simulation</w:t>
            </w:r>
          </w:p>
        </w:tc>
      </w:tr>
    </w:tbl>
    <w:p>
      <w:pPr>
        <w:spacing w:after="160"/>
      </w:pPr>
      <w:r>
        <w:rPr>
          <w:rFonts w:ascii="Arial" w:cs="Arial" w:eastAsia="Arial" w:hAnsi="Arial"/>
          <w:b/>
          <w:bCs/>
          <w:color w:val="333333"/>
          <w:sz w:val="22"/>
          <w:szCs w:val="22"/>
        </w:rPr>
        <w:t xml:space="preserve">Fazit: </w:t>
      </w:r>
      <w:r>
        <w:rPr>
          <w:rFonts w:ascii="Arial" w:cs="Arial" w:eastAsia="Arial" w:hAnsi="Arial"/>
          <w:color w:val="333333"/>
          <w:sz w:val="22"/>
          <w:szCs w:val="22"/>
        </w:rPr>
        <w:t xml:space="preserve">Artificial Societies ist ein Survey-Ersatz mit KI-Personas. SwarmSight AI ist eine Social-Media-Simulationsplattform. Der Unterschied ist nicht graduell (mehr/weniger Features), sondern architektonisch fundamental. Artificial Societies wird daher unter "Angrenzende Produkte" gefuehrt.</w:t>
      </w:r>
    </w:p>
    <w:p>
      <w:pPr>
        <w:pStyle w:val="Heading2"/>
        <w:spacing w:after="200" w:before="360"/>
      </w:pPr>
      <w:r>
        <w:t xml:space="preserve">4.2 Direkte Wettbewerber</w:t>
      </w:r>
    </w:p>
    <w:p>
      <w:pPr>
        <w:spacing w:after="160"/>
      </w:pPr>
      <w:r>
        <w:rPr>
          <w:rFonts w:ascii="Arial" w:cs="Arial" w:eastAsia="Arial" w:hAnsi="Arial"/>
          <w:color w:val="333333"/>
          <w:sz w:val="22"/>
          <w:szCs w:val="22"/>
        </w:rPr>
        <w:t xml:space="preserve">Direkte Wettbewerber sind Plattformen, die tatsaechlich Multi-Agent-Simulation mit Agent-zu-Agent-Interaktion ueber mehrere Runden anbieten: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4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Anbieter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Ansatz</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Pricing</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Einschaetzung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Simile (Stanford)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Digital Twins aus Interview-Daten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$100’000+/Jahr</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Hoechste Glaubwuerdigkeit (Stanford-Forschung). Multi-Agent, aber nur Enterprise. Viel zu teuer fuer KMU/Agenturen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Aaru ($1B Bewertung)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Census-kalibrierte Agent-Simulation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$100’000+/Jahr</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Proprietaere Daten, echte Agent-Interaktion. Nur Enterprise, kein Self-Serve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Socialtrait (US)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Patentierte Behavioral Simulation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SaaS (Preis n.v.)</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86% Accuracy, Fortune 500 Kunden. Aehnlichster Feature-Set zu SwarmSight AI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MiroFish (Open Source)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Multi-Agent-Prediction-Engine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Kostenlos</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Open-Source-Basis fuer unsere Technologie. Kein kommerzielles Produkt</w:t>
            </w:r>
          </w:p>
        </w:tc>
      </w:tr>
    </w:tbl>
    <w:p>
      <w:pPr>
        <w:spacing w:after="160"/>
      </w:pPr>
      <w:r>
        <w:rPr>
          <w:rFonts w:ascii="Arial" w:cs="Arial" w:eastAsia="Arial" w:hAnsi="Arial"/>
          <w:b/>
          <w:bCs/>
          <w:color w:val="333333"/>
          <w:sz w:val="22"/>
          <w:szCs w:val="22"/>
        </w:rPr>
        <w:t xml:space="preserve">Kernbewertung: </w:t>
      </w:r>
      <w:r>
        <w:rPr>
          <w:rFonts w:ascii="Arial" w:cs="Arial" w:eastAsia="Arial" w:hAnsi="Arial"/>
          <w:color w:val="333333"/>
          <w:sz w:val="22"/>
          <w:szCs w:val="22"/>
        </w:rPr>
        <w:t xml:space="preserve">Die echten Multi-Agent-Simulationsplattformen (Simile, Aaru) sind alle im Enterprise-Segment bei $100’000+/Jahr positioniert. Es gibt KEIN Produkt im Mid-Market (CHF 1’000-10’000/Jahr), das echte Social-Media-Simulation bietet. Das ist unsere Luecke.</w:t>
      </w:r>
    </w:p>
    <w:p>
      <w:pPr>
        <w:pStyle w:val="Heading2"/>
        <w:spacing w:after="200" w:before="360"/>
      </w:pPr>
      <w:r>
        <w:t xml:space="preserve">4.3 Angrenzende Produkte (Synthetische Audience-Plattformen)</w:t>
      </w:r>
    </w:p>
    <w:p>
      <w:pPr>
        <w:spacing w:after="160"/>
      </w:pPr>
      <w:r>
        <w:rPr>
          <w:rFonts w:ascii="Arial" w:cs="Arial" w:eastAsia="Arial" w:hAnsi="Arial"/>
          <w:color w:val="333333"/>
          <w:sz w:val="22"/>
          <w:szCs w:val="22"/>
        </w:rPr>
        <w:t xml:space="preserve">Diese Plattformen nutzen KI-Personas fuer Marktforschung und Audience-Befragung, fuehren aber KEINE Multi-Runden-Simulation mit Agent-zu-Agent-Interaktion durch: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4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Anbieter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Ansatz</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Pricing</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Abgrenzung zu SwarmSight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Artificial Societies (UK, YC W25)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Single-Pass Persona-Netzwerk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$40/Monat</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Kein Multi-Round, kein Feed, kein temporaler Verlauf. Survey-Ersatz, nicht Simulation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Lakmoos (CZ)</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Hybrid neuro-symbolische AI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EUR 10k Pilot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98% Benchmark-Accuracy. Survey-Fokus, keine Social-Sim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Expected Parrot (YC)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Open-Source AI-Surveys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Ab $25 (Credits)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Flexibel, akademisch stark. Keine Agent-Interaktion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Yabble / YouGov</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Virtual Audiences fuer MaFo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~$800/Monat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YouGov-Oekosystem. 90% Insight-Similarity. Befragung, nicht Simulation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Evidenza (US)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Synthetische Panels + CMOs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$50’000-75’000/Jahr</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0.87 Korrelation (Dentsu). Full-Service, nicht Self-Serve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Ditto (US)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Synthetic Research + Memories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$50’000-75’000/Jahr</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Injiziert echte Daten in Personas. Enterprise-fokussiert</w:t>
            </w:r>
          </w:p>
        </w:tc>
      </w:tr>
    </w:tbl>
    <w:p>
      <w:pPr>
        <w:spacing w:after="160"/>
      </w:pPr>
      <w:r>
        <w:rPr>
          <w:rFonts w:ascii="Arial" w:cs="Arial" w:eastAsia="Arial" w:hAnsi="Arial"/>
          <w:b/>
          <w:bCs/>
          <w:color w:val="333333"/>
          <w:sz w:val="22"/>
          <w:szCs w:val="22"/>
        </w:rPr>
        <w:t xml:space="preserve">Abgrenzung: </w:t>
      </w:r>
      <w:r>
        <w:rPr>
          <w:rFonts w:ascii="Arial" w:cs="Arial" w:eastAsia="Arial" w:hAnsi="Arial"/>
          <w:color w:val="333333"/>
          <w:sz w:val="22"/>
          <w:szCs w:val="22"/>
        </w:rPr>
        <w:t xml:space="preserve">Alle diese Plattformen beantworten die Frage "Was denkt unsere Zielgruppe?" (Persona-Befragung). SwarmSight AI beantwortet die Frage "Was passiert, wenn wir X veroeffentlichen?" (Simulation ueber Zeit). Das sind fundamental verschiedene Fragestellungen.</w:t>
      </w:r>
    </w:p>
    <w:p>
      <w:pPr>
        <w:pStyle w:val="Heading2"/>
        <w:spacing w:after="200" w:before="360"/>
      </w:pPr>
      <w:r>
        <w:t xml:space="preserve">4.4 Indirekte Wettbewerber (Media Intelligence — retrospektiv, nicht praediktiv)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Funktion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Pricing/Jahr</w:t>
            </w:r>
          </w:p>
        </w:tc>
        <w:tc>
          <w:tcPr>
            <w:tcW w:type="dxa" w:w="2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Europaeisch?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Brandwatch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Social Listening &amp; Analytics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$10’000-180’000</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 (UK/Cision)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Meltwater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Media Intelligence Suite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$7’000-100’000</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Ja (Norwegen)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Talkwalker (Hootsuite)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Social Listening, Sentiment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$6’000-100’000</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 (Luxemburg)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Sprinklr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Enterprise Social Management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$50’000-750’000+</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Global</w:t>
            </w:r>
          </w:p>
        </w:tc>
      </w:tr>
    </w:tbl>
    <w:p>
      <w:pPr>
        <w:spacing w:after="160"/>
      </w:pPr>
      <w:r>
        <w:rPr>
          <w:rFonts w:ascii="Arial" w:cs="Arial" w:eastAsia="Arial" w:hAnsi="Arial"/>
          <w:b/>
          <w:bCs/>
          <w:color w:val="333333"/>
          <w:sz w:val="22"/>
          <w:szCs w:val="22"/>
        </w:rPr>
        <w:t xml:space="preserve">Kernunterschied: </w:t>
      </w:r>
      <w:r>
        <w:rPr>
          <w:rFonts w:ascii="Arial" w:cs="Arial" w:eastAsia="Arial" w:hAnsi="Arial"/>
          <w:color w:val="333333"/>
          <w:sz w:val="22"/>
          <w:szCs w:val="22"/>
        </w:rPr>
        <w:t xml:space="preserve">Diese Tools analysieren, was bereits passiert ist (retrospektiv). SwarmSight AI sagt vorher, was passieren wird (praediktiv). Wir konkurrieren nicht mit ihnen, sondern ergaenzen sie. Potenzielle Integrationspartner.</w:t>
      </w:r>
    </w:p>
    <w:p>
      <w:pPr>
        <w:pStyle w:val="Heading2"/>
        <w:spacing w:after="200" w:before="360"/>
      </w:pPr>
      <w:r>
        <w:t xml:space="preserve">4.5 Unsere Positionierung</w:t>
      </w:r>
    </w:p>
    <w:p>
      <w:pPr>
        <w:spacing w:after="160"/>
      </w:pPr>
      <w:r>
        <w:rPr>
          <w:rFonts w:ascii="Arial" w:cs="Arial" w:eastAsia="Arial" w:hAnsi="Arial"/>
          <w:color w:val="333333"/>
          <w:sz w:val="22"/>
          <w:szCs w:val="22"/>
        </w:rPr>
        <w:t xml:space="preserve">SwarmSight AI besetzt eine einzigartige Position im Markt:</w:t>
      </w:r>
    </w:p>
    <w:p>
      <w:pPr>
        <w:pStyle w:val="Heading3"/>
        <w:spacing w:after="160" w:before="240"/>
      </w:pPr>
      <w:r>
        <w:t xml:space="preserve">Markt-Pricing-Tiers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Plattformen</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Jaehrliche Kosten</w:t>
            </w:r>
          </w:p>
        </w:tc>
        <w:tc>
          <w:tcPr>
            <w:tcW w:type="dxa" w:w="2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SwarmSight Position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Budget / Self-Serve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Artificial Societies, MiroFish (gratis)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$0-480/Jahr</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Mid-Market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Yabble, Lakmoos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$10’000-22’000/Jahr</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 UNSER SWEET SPOT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Professional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Ditto, Evidenza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$50’000-75’000/Jahr</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Enterprise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Simile, Aaru</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$100’000+/Jahr</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
            </w:r>
          </w:p>
        </w:tc>
      </w:tr>
    </w:tbl>
    <w:p>
      <w:pPr>
        <w:spacing w:after="160"/>
      </w:pPr>
      <w:r>
        <w:rPr>
          <w:rFonts w:ascii="Arial" w:cs="Arial" w:eastAsia="Arial" w:hAnsi="Arial"/>
          <w:b/>
          <w:bCs/>
          <w:color w:val="333333"/>
          <w:sz w:val="22"/>
          <w:szCs w:val="22"/>
        </w:rPr>
        <w:t xml:space="preserve">Positionierung: </w:t>
      </w:r>
      <w:r>
        <w:rPr>
          <w:rFonts w:ascii="Arial" w:cs="Arial" w:eastAsia="Arial" w:hAnsi="Arial"/>
          <w:color w:val="333333"/>
          <w:sz w:val="22"/>
          <w:szCs w:val="22"/>
        </w:rPr>
        <w:t xml:space="preserve">SwarmSight AI positioniert sich im Mid-Market (CHF 1’188-9’588/Jahr). Wir sind das EINZIGE Produkt in diesem Preissegment, das echte Multi-Agent Social-Media-Simulation bietet. Die Budget-Alternativen (Artificial Societies) bieten nur Persona-Befragung, die Enterprise-Loesungen (Simile, Aaru) sind 10-100x teurer.</w:t>
      </w:r>
    </w:p>
    <w:p>
      <w:pPr>
        <w:pStyle w:val="Heading3"/>
        <w:spacing w:after="160" w:before="240"/>
      </w:pPr>
      <w:r>
        <w:t xml:space="preserve">Wettbewerbsvorteile</w:t>
      </w:r>
    </w:p>
    <w:p>
      <w:pPr>
        <w:spacing w:after="160"/>
      </w:pPr>
      <w:r>
        <w:rPr>
          <w:rFonts w:ascii="Arial" w:cs="Arial" w:eastAsia="Arial" w:hAnsi="Arial"/>
          <w:b/>
          <w:bCs/>
          <w:color w:val="333333"/>
          <w:sz w:val="22"/>
          <w:szCs w:val="22"/>
        </w:rPr>
        <w:t xml:space="preserve">Echte Social-Media-Simulation: </w:t>
      </w:r>
      <w:r>
        <w:rPr>
          <w:rFonts w:ascii="Arial" w:cs="Arial" w:eastAsia="Arial" w:hAnsi="Arial"/>
          <w:color w:val="333333"/>
          <w:sz w:val="22"/>
          <w:szCs w:val="22"/>
        </w:rPr>
        <w:t xml:space="preserve">Einziges Tool im Mid-Market das OASIS-basierte Agent-Interaktion bietet (nicht nur Survey/Befragung)</w:t>
      </w:r>
    </w:p>
    <w:p>
      <w:pPr>
        <w:spacing w:after="160"/>
      </w:pPr>
      <w:r>
        <w:rPr>
          <w:rFonts w:ascii="Arial" w:cs="Arial" w:eastAsia="Arial" w:hAnsi="Arial"/>
          <w:b/>
          <w:bCs/>
          <w:color w:val="333333"/>
          <w:sz w:val="22"/>
          <w:szCs w:val="22"/>
        </w:rPr>
        <w:t xml:space="preserve">DACH-Lokalisierung: </w:t>
      </w:r>
      <w:r>
        <w:rPr>
          <w:rFonts w:ascii="Arial" w:cs="Arial" w:eastAsia="Arial" w:hAnsi="Arial"/>
          <w:color w:val="333333"/>
          <w:sz w:val="22"/>
          <w:szCs w:val="22"/>
        </w:rPr>
        <w:t xml:space="preserve">Kein Wettbewerber hat DACH-spezifische Personas (Schweizerdeutsch, DACH-Demografie, lokale Medienlandschaft)</w:t>
      </w:r>
    </w:p>
    <w:p>
      <w:pPr>
        <w:spacing w:after="160"/>
      </w:pPr>
      <w:r>
        <w:rPr>
          <w:rFonts w:ascii="Arial" w:cs="Arial" w:eastAsia="Arial" w:hAnsi="Arial"/>
          <w:b/>
          <w:bCs/>
          <w:color w:val="333333"/>
          <w:sz w:val="22"/>
          <w:szCs w:val="22"/>
        </w:rPr>
        <w:t xml:space="preserve">PR/Krisen-Fokus: </w:t>
      </w:r>
      <w:r>
        <w:rPr>
          <w:rFonts w:ascii="Arial" w:cs="Arial" w:eastAsia="Arial" w:hAnsi="Arial"/>
          <w:color w:val="333333"/>
          <w:sz w:val="22"/>
          <w:szCs w:val="22"/>
        </w:rPr>
        <w:t xml:space="preserve">Spezialisierung auf Kommunikation statt generische Marktforschung</w:t>
      </w:r>
    </w:p>
    <w:p>
      <w:pPr>
        <w:spacing w:after="160"/>
      </w:pPr>
      <w:r>
        <w:rPr>
          <w:rFonts w:ascii="Arial" w:cs="Arial" w:eastAsia="Arial" w:hAnsi="Arial"/>
          <w:b/>
          <w:bCs/>
          <w:color w:val="333333"/>
          <w:sz w:val="22"/>
          <w:szCs w:val="22"/>
        </w:rPr>
        <w:t xml:space="preserve">Preisposition: </w:t>
      </w:r>
      <w:r>
        <w:rPr>
          <w:rFonts w:ascii="Arial" w:cs="Arial" w:eastAsia="Arial" w:hAnsi="Arial"/>
          <w:color w:val="333333"/>
          <w:sz w:val="22"/>
          <w:szCs w:val="22"/>
        </w:rPr>
        <w:t xml:space="preserve">10-100x guenstiger als Simile/Aaru, fundamental tiefere Simulation als Artificial Societies</w:t>
      </w:r>
    </w:p>
    <w:p>
      <w:pPr>
        <w:spacing w:after="160"/>
      </w:pPr>
      <w:r>
        <w:rPr>
          <w:rFonts w:ascii="Arial" w:cs="Arial" w:eastAsia="Arial" w:hAnsi="Arial"/>
          <w:b/>
          <w:bCs/>
          <w:color w:val="333333"/>
          <w:sz w:val="22"/>
          <w:szCs w:val="22"/>
        </w:rPr>
        <w:t xml:space="preserve">Ersetzt teure Marktforschung: </w:t>
      </w:r>
      <w:r>
        <w:rPr>
          <w:rFonts w:ascii="Arial" w:cs="Arial" w:eastAsia="Arial" w:hAnsi="Arial"/>
          <w:color w:val="333333"/>
          <w:sz w:val="22"/>
          <w:szCs w:val="22"/>
        </w:rPr>
        <w:t xml:space="preserve">Traditionelle Studie: USD 20’000-65’000. Unsere Simulation: CHF 50-500 pro Run</w:t>
      </w:r>
    </w:p>
    <w:p>
      <w:pPr>
        <w:spacing w:after="160"/>
      </w:pPr>
      <w:r>
        <w:rPr>
          <w:rFonts w:ascii="Arial" w:cs="Arial" w:eastAsia="Arial" w:hAnsi="Arial"/>
          <w:b/>
          <w:bCs/>
          <w:color w:val="333333"/>
          <w:sz w:val="22"/>
          <w:szCs w:val="22"/>
        </w:rPr>
        <w:t xml:space="preserve">Keine direkte Konkurrenz im Mid-Market: </w:t>
      </w:r>
      <w:r>
        <w:rPr>
          <w:rFonts w:ascii="Arial" w:cs="Arial" w:eastAsia="Arial" w:hAnsi="Arial"/>
          <w:color w:val="333333"/>
          <w:sz w:val="22"/>
          <w:szCs w:val="22"/>
        </w:rPr>
        <w:t xml:space="preserve">Die echten Simulationsplattformen sind alle Enterprise ($100k+), die Budget-Tools sind keine echten Simulationen. SwarmSight AI steht allein in der Mitte.</w:t>
      </w:r>
    </w:p>
    <w:p>
      <w:r>
        <w:br w:type="page"/>
      </w:r>
    </w:p>
    <w:p>
      <w:pPr>
        <w:pStyle w:val="Heading1"/>
        <w:spacing w:after="200" w:before="360"/>
      </w:pPr>
      <w:r>
        <w:t xml:space="preserve">5. Technischer Bauplan</w:t>
      </w:r>
    </w:p>
    <w:p>
      <w:pPr>
        <w:pStyle w:val="Heading2"/>
        <w:spacing w:after="200" w:before="360"/>
      </w:pPr>
      <w:r>
        <w:t xml:space="preserve">5.1 Architektur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Komponente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Technologie</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Vue.js 3 + Vite</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5-Step-Wizard UI, Graph-Visualisierung (D3.js), Chat-Interface, Report-Viewer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Backend API</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Python/Flask</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REST API, Async Task Management, File Processing, LLM Orchestrierung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Simulations-Engine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OASIS (Open Source)</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Multi-Agent Social-Media-Simulation (Twitter/Reddit), bis 1M Agenten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Knowledge Graph</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Zep Cloud (oder self-hosted)</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GraphRAG, Entity Extraction, Semantic Search, Agent Memory</w:t>
            </w:r>
          </w:p>
        </w:tc>
      </w:tr>
    </w:tbl>
    <w:p>
      <w:pPr>
        <w:spacing w:after="160"/>
      </w:pPr>
      <w:r>
        <w:rPr>
          <w:rFonts w:ascii="Arial" w:cs="Arial" w:eastAsia="Arial" w:hAnsi="Arial"/>
          <w:color w:val="333333"/>
          <w:sz w:val="22"/>
          <w:szCs w:val="22"/>
        </w:rPr>
        <w:t xml:space="preserve"/>
      </w:r>
    </w:p>
    <w:p>
      <w:pPr>
        <w:pStyle w:val="Heading2"/>
        <w:spacing w:after="200" w:before="360"/>
      </w:pPr>
      <w:r>
        <w:t xml:space="preserve">5.2 Tech-Stack im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Technologie</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Kosten/Monat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Hosting Frontend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Vercel Pro</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20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Hosting Backend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AWS EC2 t4g.medium (Frankfurt)</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30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Datenbank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PostgreSQL (Supabase oder RDS)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25–75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LLM API</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GPT-4o-mini / Gemini Flash</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variabel (s. Finanzplan)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Knowledge Graph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Zep Cloud Flex</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25–625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Clerk / Auth0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0–25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Monitoring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Sentry + Posthog</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0–30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Domain + Email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Cloudflare + Resend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10–20</w:t>
            </w:r>
          </w:p>
        </w:tc>
      </w:tr>
    </w:tbl>
    <w:p>
      <w:pPr>
        <w:spacing w:after="160"/>
      </w:pPr>
      <w:r>
        <w:rPr>
          <w:rFonts w:ascii="Arial" w:cs="Arial" w:eastAsia="Arial" w:hAnsi="Arial"/>
          <w:color w:val="333333"/>
          <w:sz w:val="22"/>
          <w:szCs w:val="22"/>
        </w:rPr>
        <w:t xml:space="preserve"/>
      </w:r>
    </w:p>
    <w:p>
      <w:pPr>
        <w:pStyle w:val="Heading2"/>
        <w:spacing w:after="200" w:before="360"/>
      </w:pPr>
      <w:r>
        <w:t xml:space="preserve">5.3 Kosten pro Simulation</w:t>
      </w:r>
    </w:p>
    <w:p>
      <w:pPr>
        <w:spacing w:after="160"/>
      </w:pPr>
      <w:r>
        <w:rPr>
          <w:rFonts w:ascii="Arial" w:cs="Arial" w:eastAsia="Arial" w:hAnsi="Arial"/>
          <w:color w:val="333333"/>
          <w:sz w:val="22"/>
          <w:szCs w:val="22"/>
        </w:rPr>
        <w:t xml:space="preserve">Kernannahme: 200 Agenten x 50 Runden = 10’000 LLM-Calls pro Simulation. Je ~500 Input + 200 Output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LLM-Modell</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Kosten pro Simulation</w:t>
            </w:r>
          </w:p>
        </w:tc>
        <w:tc>
          <w:tcPr>
            <w:tcW w:type="dxa" w:w="2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 Batch API (50% Rabatt)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GPT-4o-mini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1.95</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0.98</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Gemini 2.0 Flash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1.30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0.65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DeepSeek V3.2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2.24</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1.12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Claude Haiku 4.5</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15.00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7.50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GPT-5 nano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1.05</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USD 0.53</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Self-hosted (A100 GPU)</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USD 0.50–2.00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b/>
          <w:bCs/>
          <w:color w:val="333333"/>
          <w:sz w:val="22"/>
          <w:szCs w:val="22"/>
        </w:rPr>
        <w:t xml:space="preserve">Empfehlung: </w:t>
      </w:r>
      <w:r>
        <w:rPr>
          <w:rFonts w:ascii="Arial" w:cs="Arial" w:eastAsia="Arial" w:hAnsi="Arial"/>
          <w:color w:val="333333"/>
          <w:sz w:val="22"/>
          <w:szCs w:val="22"/>
        </w:rPr>
        <w:t xml:space="preserve">GPT-4o-mini als Standard-Modell (USD 1.95/Run), mit Prompt-Caching (40–60% Ersparnis). Gemini 2.0 Flash als guenstigste Option, aber Deprecation im Juni 2026 beachten.</w:t>
      </w:r>
    </w:p>
    <w:p>
      <w:pPr>
        <w:pStyle w:val="Heading2"/>
        <w:spacing w:after="200" w:before="360"/>
      </w:pPr>
      <w:r>
        <w:t xml:space="preserve">5.4 Entwicklungsphasen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Dauer</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Phase 1: MVP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8–12 Wochen</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Basis-UI, OASIS-Integration, einfache Persona-Generierung, Text-Report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Phase 2: Beta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4–8 Wochen</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Zep-Integration (GraphRAG), Report-Agent, A/B-Testing, Chat mit Agenten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Phase 3: Launch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4–6 Wochen</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Payment (Stripe), User Management, DACH-spezifische Personas, Dashboard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Phase 4: Scale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Ongoing</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Enterprise Features, API, Custom Personas, Multi-Language, Self-hosted Option</w:t>
            </w:r>
          </w:p>
        </w:tc>
      </w:tr>
    </w:tbl>
    <w:p>
      <w:r>
        <w:br w:type="page"/>
      </w:r>
    </w:p>
    <w:p>
      <w:pPr>
        <w:pStyle w:val="Heading1"/>
        <w:spacing w:after="200" w:before="360"/>
      </w:pPr>
      <w:r>
        <w:t xml:space="preserve">6. Go-to-Market-Strategie</w:t>
      </w:r>
    </w:p>
    <w:p>
      <w:pPr>
        <w:pStyle w:val="Heading2"/>
        <w:spacing w:after="200" w:before="360"/>
      </w:pPr>
      <w:r>
        <w:t xml:space="preserve">6.1 Zielkunden (nach Prioritaet)</w:t>
      </w:r>
    </w:p>
    <w:p>
      <w:pPr>
        <w:pStyle w:val="ListParagraph"/>
        <w:numPr>
          <w:ilvl w:val="0"/>
          <w:numId w:val="2"/>
        </w:numPr>
        <w:spacing w:after="80"/>
      </w:pPr>
      <w:r>
        <w:rPr>
          <w:rFonts w:ascii="Arial" w:cs="Arial" w:eastAsia="Arial" w:hAnsi="Arial"/>
          <w:b/>
          <w:bCs/>
          <w:color w:val="333333"/>
          <w:sz w:val="22"/>
          <w:szCs w:val="22"/>
        </w:rPr>
        <w:t xml:space="preserve">PR-Agenturen (Primaer): </w:t>
      </w:r>
      <w:r>
        <w:rPr>
          <w:rFonts w:ascii="Arial" w:cs="Arial" w:eastAsia="Arial" w:hAnsi="Arial"/>
          <w:color w:val="333333"/>
          <w:sz w:val="22"/>
          <w:szCs w:val="22"/>
        </w:rPr>
        <w:t xml:space="preserve">~220 gerankte Agenturen im DACH-Raum. Hohe Affinitaet zu neuen Tools, schnelle Entscheidungszyklen, klarer Pain Point (Krisenkommunikation)</w:t>
      </w:r>
    </w:p>
    <w:p>
      <w:pPr>
        <w:pStyle w:val="ListParagraph"/>
        <w:numPr>
          <w:ilvl w:val="0"/>
          <w:numId w:val="2"/>
        </w:numPr>
        <w:spacing w:after="80"/>
      </w:pPr>
      <w:r>
        <w:rPr>
          <w:rFonts w:ascii="Arial" w:cs="Arial" w:eastAsia="Arial" w:hAnsi="Arial"/>
          <w:b/>
          <w:bCs/>
          <w:color w:val="333333"/>
          <w:sz w:val="22"/>
          <w:szCs w:val="22"/>
        </w:rPr>
        <w:t xml:space="preserve">Corporate Communications (Sekundaer): </w:t>
      </w:r>
      <w:r>
        <w:rPr>
          <w:rFonts w:ascii="Arial" w:cs="Arial" w:eastAsia="Arial" w:hAnsi="Arial"/>
          <w:color w:val="333333"/>
          <w:sz w:val="22"/>
          <w:szCs w:val="22"/>
        </w:rPr>
        <w:t xml:space="preserve">~4’300 BdKom-Mitglieder in DACH. Groessere Budgets, laengere Sales Cycles</w:t>
      </w:r>
    </w:p>
    <w:p>
      <w:pPr>
        <w:pStyle w:val="ListParagraph"/>
        <w:numPr>
          <w:ilvl w:val="0"/>
          <w:numId w:val="2"/>
        </w:numPr>
        <w:spacing w:after="80"/>
      </w:pPr>
      <w:r>
        <w:rPr>
          <w:rFonts w:ascii="Arial" w:cs="Arial" w:eastAsia="Arial" w:hAnsi="Arial"/>
          <w:b/>
          <w:bCs/>
          <w:color w:val="333333"/>
          <w:sz w:val="22"/>
          <w:szCs w:val="22"/>
        </w:rPr>
        <w:t xml:space="preserve">Brand-/Social-Media-Agenturen (Tertiaer): </w:t>
      </w:r>
      <w:r>
        <w:rPr>
          <w:rFonts w:ascii="Arial" w:cs="Arial" w:eastAsia="Arial" w:hAnsi="Arial"/>
          <w:color w:val="333333"/>
          <w:sz w:val="22"/>
          <w:szCs w:val="22"/>
        </w:rPr>
        <w:t xml:space="preserve">Hunderte Agenturen die Content-Strategien fuer Kunden entwickeln</w:t>
      </w:r>
    </w:p>
    <w:p>
      <w:pPr>
        <w:pStyle w:val="Heading2"/>
        <w:spacing w:after="200" w:before="360"/>
      </w:pPr>
      <w:r>
        <w:t xml:space="preserve">6.2 Pricing-Modell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26"/>
        <w:gridCol w:w="2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Preis/Monat</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Inkludiert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Zielgruppe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Starter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99</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Simulationen (100 Agenten), Basis-Reports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Freelancer, kleine Agenturen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299</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20 Simulationen (200 Agenten), volle Reports, Chat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Mittelgrosse Agenturen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Business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799</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Unlimitiert (500 Agenten), Priority, Custom Personas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Grosse Agenturen, Corporates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Enterprise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Auf Anfrage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Dedicated, API, SSO, Custom, SLA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Grossunternehmen</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b/>
          <w:bCs/>
          <w:color w:val="333333"/>
          <w:sz w:val="22"/>
          <w:szCs w:val="22"/>
        </w:rPr>
        <w:t xml:space="preserve">Zusatzeinnahmen: </w:t>
      </w:r>
      <w:r>
        <w:rPr>
          <w:rFonts w:ascii="Arial" w:cs="Arial" w:eastAsia="Arial" w:hAnsi="Arial"/>
          <w:color w:val="333333"/>
          <w:sz w:val="22"/>
          <w:szCs w:val="22"/>
        </w:rPr>
        <w:t xml:space="preserve">Pay-per-Simulation fuer Ueberschreitungen (CHF 10–25/Simulation), Premium-LLM-Upgrade (Claude/GPT-4o statt Mini), Custom Persona Packs</w:t>
      </w:r>
    </w:p>
    <w:p>
      <w:pPr>
        <w:spacing w:after="160"/>
      </w:pPr>
      <w:r>
        <w:rPr>
          <w:rFonts w:ascii="Arial" w:cs="Arial" w:eastAsia="Arial" w:hAnsi="Arial"/>
          <w:b/>
          <w:bCs/>
          <w:color w:val="333333"/>
          <w:sz w:val="22"/>
          <w:szCs w:val="22"/>
        </w:rPr>
        <w:t xml:space="preserve">Preisvergleich vs. Alternativen:</w:t>
      </w:r>
    </w:p>
    <w:p>
      <w:pPr>
        <w:pStyle w:val="ListParagraph"/>
        <w:numPr>
          <w:ilvl w:val="0"/>
          <w:numId w:val="4"/>
        </w:numPr>
        <w:spacing w:after="80"/>
      </w:pPr>
      <w:r>
        <w:rPr>
          <w:rFonts w:ascii="Arial" w:cs="Arial" w:eastAsia="Arial" w:hAnsi="Arial"/>
          <w:color w:val="333333"/>
          <w:sz w:val="22"/>
          <w:szCs w:val="22"/>
        </w:rPr>
        <w:t xml:space="preserve">Artificial Societies: $40/Monat — wir bieten mehr Simulationstiefe fuer CHF 99+</w:t>
      </w:r>
    </w:p>
    <w:p>
      <w:pPr>
        <w:pStyle w:val="ListParagraph"/>
        <w:numPr>
          <w:ilvl w:val="0"/>
          <w:numId w:val="4"/>
        </w:numPr>
        <w:spacing w:after="80"/>
      </w:pPr>
      <w:r>
        <w:rPr>
          <w:rFonts w:ascii="Arial" w:cs="Arial" w:eastAsia="Arial" w:hAnsi="Arial"/>
          <w:color w:val="333333"/>
          <w:sz w:val="22"/>
          <w:szCs w:val="22"/>
        </w:rPr>
        <w:t xml:space="preserve">Traditionelle Marktforschung: CHF 20’000–65’000 pro Studie — wir sind 50–100x guenstiger</w:t>
      </w:r>
    </w:p>
    <w:p>
      <w:pPr>
        <w:pStyle w:val="ListParagraph"/>
        <w:numPr>
          <w:ilvl w:val="0"/>
          <w:numId w:val="4"/>
        </w:numPr>
        <w:spacing w:after="80"/>
      </w:pPr>
      <w:r>
        <w:rPr>
          <w:rFonts w:ascii="Arial" w:cs="Arial" w:eastAsia="Arial" w:hAnsi="Arial"/>
          <w:color w:val="333333"/>
          <w:sz w:val="22"/>
          <w:szCs w:val="22"/>
        </w:rPr>
        <w:t xml:space="preserve">Krisensimulation (Beratung): EUR 800–2’000/Tag — eine Simulation bei uns kostet CHF 10–25</w:t>
      </w:r>
    </w:p>
    <w:p>
      <w:pPr>
        <w:pStyle w:val="Heading2"/>
        <w:spacing w:after="200" w:before="360"/>
      </w:pPr>
      <w:r>
        <w:t xml:space="preserve">6.3 Vertriebsstrategie</w:t>
      </w:r>
    </w:p>
    <w:p>
      <w:pPr>
        <w:pStyle w:val="ListParagraph"/>
        <w:numPr>
          <w:ilvl w:val="0"/>
          <w:numId w:val="4"/>
        </w:numPr>
        <w:spacing w:after="80"/>
      </w:pPr>
      <w:r>
        <w:rPr>
          <w:rFonts w:ascii="Arial" w:cs="Arial" w:eastAsia="Arial" w:hAnsi="Arial"/>
          <w:color w:val="333333"/>
          <w:sz w:val="22"/>
          <w:szCs w:val="22"/>
        </w:rPr>
        <w:t xml:space="preserve">Monat 1–3: Direkte Ansprache von 20–30 PR-Agenturen in Zuerich und Berlin via LinkedIn + Events</w:t>
      </w:r>
    </w:p>
    <w:p>
      <w:pPr>
        <w:pStyle w:val="ListParagraph"/>
        <w:numPr>
          <w:ilvl w:val="0"/>
          <w:numId w:val="4"/>
        </w:numPr>
        <w:spacing w:after="80"/>
      </w:pPr>
      <w:r>
        <w:rPr>
          <w:rFonts w:ascii="Arial" w:cs="Arial" w:eastAsia="Arial" w:hAnsi="Arial"/>
          <w:color w:val="333333"/>
          <w:sz w:val="22"/>
          <w:szCs w:val="22"/>
        </w:rPr>
        <w:t xml:space="preserve">Monat 3–6: Content Marketing (Fallstudien, Blog), Partnership mit GPRA/BPRA</w:t>
      </w:r>
    </w:p>
    <w:p>
      <w:pPr>
        <w:pStyle w:val="ListParagraph"/>
        <w:numPr>
          <w:ilvl w:val="0"/>
          <w:numId w:val="4"/>
        </w:numPr>
        <w:spacing w:after="80"/>
      </w:pPr>
      <w:r>
        <w:rPr>
          <w:rFonts w:ascii="Arial" w:cs="Arial" w:eastAsia="Arial" w:hAnsi="Arial"/>
          <w:color w:val="333333"/>
          <w:sz w:val="22"/>
          <w:szCs w:val="22"/>
        </w:rPr>
        <w:t xml:space="preserve">Monat 6–12: Product-Led Growth (Free Trial mit limitierten Simulationen), Konferenz-Talks</w:t>
      </w:r>
    </w:p>
    <w:p>
      <w:pPr>
        <w:pStyle w:val="ListParagraph"/>
        <w:numPr>
          <w:ilvl w:val="0"/>
          <w:numId w:val="4"/>
        </w:numPr>
        <w:spacing w:after="80"/>
      </w:pPr>
      <w:r>
        <w:rPr>
          <w:rFonts w:ascii="Arial" w:cs="Arial" w:eastAsia="Arial" w:hAnsi="Arial"/>
          <w:color w:val="333333"/>
          <w:sz w:val="22"/>
          <w:szCs w:val="22"/>
        </w:rPr>
        <w:t xml:space="preserve">Monat 12+: Enterprise Sales, Channel Partnerships mit Beratungsfirmen</w:t>
      </w:r>
    </w:p>
    <w:p>
      <w:pPr>
        <w:pStyle w:val="Heading2"/>
        <w:spacing w:after="200" w:before="360"/>
      </w:pPr>
      <w:r>
        <w:t xml:space="preserve">6.4 Kundenakquise-Kosten (CAC) Schaetzung</w:t>
      </w:r>
    </w:p>
    <w:p>
      <w:pPr>
        <w:pStyle w:val="ListParagraph"/>
        <w:numPr>
          <w:ilvl w:val="0"/>
          <w:numId w:val="4"/>
        </w:numPr>
        <w:spacing w:after="80"/>
      </w:pPr>
      <w:r>
        <w:rPr>
          <w:rFonts w:ascii="Arial" w:cs="Arial" w:eastAsia="Arial" w:hAnsi="Arial"/>
          <w:color w:val="333333"/>
          <w:sz w:val="22"/>
          <w:szCs w:val="22"/>
        </w:rPr>
        <w:t xml:space="preserve">Angenommene CAC: CHF 500–1’500 pro Kunde (PR-Agenturen sind gut erreichbar)</w:t>
      </w:r>
    </w:p>
    <w:p>
      <w:pPr>
        <w:pStyle w:val="ListParagraph"/>
        <w:numPr>
          <w:ilvl w:val="0"/>
          <w:numId w:val="4"/>
        </w:numPr>
        <w:spacing w:after="80"/>
      </w:pPr>
      <w:r>
        <w:rPr>
          <w:rFonts w:ascii="Arial" w:cs="Arial" w:eastAsia="Arial" w:hAnsi="Arial"/>
          <w:color w:val="333333"/>
          <w:sz w:val="22"/>
          <w:szCs w:val="22"/>
        </w:rPr>
        <w:t xml:space="preserve">Durchschnittlicher Customer Lifetime Value (CLV): CHF 3’588–11’988 (12–18 Monate Retention)</w:t>
      </w:r>
    </w:p>
    <w:p>
      <w:pPr>
        <w:pStyle w:val="ListParagraph"/>
        <w:numPr>
          <w:ilvl w:val="0"/>
          <w:numId w:val="4"/>
        </w:numPr>
        <w:spacing w:after="80"/>
      </w:pPr>
      <w:r>
        <w:rPr>
          <w:rFonts w:ascii="Arial" w:cs="Arial" w:eastAsia="Arial" w:hAnsi="Arial"/>
          <w:color w:val="333333"/>
          <w:sz w:val="22"/>
          <w:szCs w:val="22"/>
        </w:rPr>
        <w:t xml:space="preserve">CLV/CAC-Ratio: 3–8x (gesund, Ziel ist &gt;3x)</w:t>
      </w:r>
    </w:p>
    <w:p>
      <w:r>
        <w:br w:type="page"/>
      </w:r>
    </w:p>
    <w:p>
      <w:pPr>
        <w:pStyle w:val="Heading1"/>
        <w:spacing w:after="200" w:before="360"/>
      </w:pPr>
      <w:r>
        <w:t xml:space="preserve">7. Finanzplan</w:t>
      </w:r>
    </w:p>
    <w:p>
      <w:pPr>
        <w:pStyle w:val="Heading2"/>
        <w:spacing w:after="200" w:before="360"/>
      </w:pPr>
      <w:r>
        <w:t xml:space="preserve">7.1 Entwicklungskosten (Pre-Launch)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Position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Kosten (CHF)</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Annahme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Entwicklung MVP (intern/Vibecoding)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30’000–60’000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2–3 Entwickler, 3 Monate, teilweise AI-gestuetzt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Design &amp; UX</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5’000–15’000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Freelancer oder AI-gestuetzt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Infrastruktur (3 Monate Pre-Launch)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500–2’000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Cloud, APIs, Domains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LLM-Kosten (Testing &amp; Entwicklung)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1’000–3’000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Hunderte Test-Simulationen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Rechtsberatung (DSGVO, AGB, EU AI 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5’000–10’000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Spezialisierter Anwalt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Gruendungskosten (GmbH/AG)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5’000–15’000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Notar, HR, Steuerberater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Marketing Pre-Launch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2’000–5’000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Website, erste Materialien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Reserve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10’000–20’000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Unvorhergesehenes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58’500–130’000</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w:r>
          </w:p>
        </w:tc>
      </w:tr>
    </w:tbl>
    <w:p>
      <w:pPr>
        <w:spacing w:after="160"/>
      </w:pPr>
      <w:r>
        <w:rPr>
          <w:rFonts w:ascii="Arial" w:cs="Arial" w:eastAsia="Arial" w:hAnsi="Arial"/>
          <w:color w:val="333333"/>
          <w:sz w:val="22"/>
          <w:szCs w:val="22"/>
        </w:rPr>
        <w:t xml:space="preserve"/>
      </w:r>
    </w:p>
    <w:p>
      <w:pPr>
        <w:pStyle w:val="Heading2"/>
        <w:spacing w:after="200" w:before="360"/>
      </w:pPr>
      <w:r>
        <w:t xml:space="preserve">7.2 Laufende monatliche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Position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Monat 1–6 (CHF)</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Monat 7–12 (CHF)</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Monat 13–24 (CHF)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Infrastruktur (Cloud, DB)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LLM-API-Kosten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300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2’000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8’000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Zep Cloud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250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625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SaaS-Tools (Auth, Monitoring etc.)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200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400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Marketing &amp; Sales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2’000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Personal (teilzeit/Freelancer)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0–5’000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5’000–10’000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10’000–20’000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TOTAL/Monat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1’125–6’125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9’950–14’950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25’025–35’025</w:t>
            </w:r>
          </w:p>
        </w:tc>
      </w:tr>
    </w:tbl>
    <w:p>
      <w:pPr>
        <w:spacing w:after="160"/>
      </w:pPr>
      <w:r>
        <w:rPr>
          <w:rFonts w:ascii="Arial" w:cs="Arial" w:eastAsia="Arial" w:hAnsi="Arial"/>
          <w:color w:val="333333"/>
          <w:sz w:val="22"/>
          <w:szCs w:val="22"/>
        </w:rPr>
        <w:t xml:space="preserve"/>
      </w:r>
    </w:p>
    <w:p>
      <w:pPr>
        <w:pStyle w:val="Heading2"/>
        <w:spacing w:after="200" w:before="360"/>
      </w:pPr>
      <w:r>
        <w:t xml:space="preserve">7.3 Revenue-Projektion (konservativ)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800"/>
        <w:gridCol w:w="17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Zeitraum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Zahlende Kunden</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Avg. MRR/Kunde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MRR Total</w:t>
            </w:r>
          </w:p>
        </w:tc>
        <w:tc>
          <w:tcPr>
            <w:tcW w:type="dxa" w:w="1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299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897–1’495</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10’764–17’940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15–25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350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5’250–8’750</w:t>
            </w:r>
          </w:p>
        </w:tc>
        <w:tc>
          <w:tcPr>
            <w:tcW w:type="dxa" w:w="1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63’000–105’000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400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16’000–28’000</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192’000–336’000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24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80–150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450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36’000–67’500</w:t>
            </w:r>
          </w:p>
        </w:tc>
        <w:tc>
          <w:tcPr>
            <w:tcW w:type="dxa" w:w="1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CHF 432’000–810’000</w:t>
            </w:r>
          </w:p>
        </w:tc>
      </w:tr>
    </w:tbl>
    <w:p>
      <w:pPr>
        <w:spacing w:after="160"/>
      </w:pPr>
      <w:r>
        <w:rPr>
          <w:rFonts w:ascii="Arial" w:cs="Arial" w:eastAsia="Arial" w:hAnsi="Arial"/>
          <w:color w:val="333333"/>
          <w:sz w:val="22"/>
          <w:szCs w:val="22"/>
        </w:rPr>
        <w:t xml:space="preserve"/>
      </w:r>
    </w:p>
    <w:p>
      <w:pPr>
        <w:pStyle w:val="Heading2"/>
        <w:spacing w:after="200" w:before="360"/>
      </w:pPr>
      <w:r>
        <w:t xml:space="preserve">7.4 Break-even-Analyse</w:t>
      </w:r>
    </w:p>
    <w:p>
      <w:pPr>
        <w:spacing w:after="160"/>
      </w:pPr>
      <w:r>
        <w:rPr>
          <w:rFonts w:ascii="Arial" w:cs="Arial" w:eastAsia="Arial" w:hAnsi="Arial"/>
          <w:color w:val="333333"/>
          <w:sz w:val="22"/>
          <w:szCs w:val="22"/>
        </w:rPr>
        <w:t xml:space="preserve">Bei durchschnittlichen monatlichen Kosten von CHF 15’000–25’000 (nach 12 Monaten) und einem Average Revenue per Customer von CHF 400/Monat:</w:t>
      </w:r>
    </w:p>
    <w:p>
      <w:pPr>
        <w:pStyle w:val="ListParagraph"/>
        <w:numPr>
          <w:ilvl w:val="0"/>
          <w:numId w:val="4"/>
        </w:numPr>
        <w:spacing w:after="80"/>
      </w:pPr>
      <w:r>
        <w:rPr>
          <w:rFonts w:ascii="Arial" w:cs="Arial" w:eastAsia="Arial" w:hAnsi="Arial"/>
          <w:color w:val="333333"/>
          <w:sz w:val="22"/>
          <w:szCs w:val="22"/>
        </w:rPr>
        <w:t xml:space="preserve">Break-even bei 38–63 zahlenden Kunden</w:t>
      </w:r>
    </w:p>
    <w:p>
      <w:pPr>
        <w:pStyle w:val="ListParagraph"/>
        <w:numPr>
          <w:ilvl w:val="0"/>
          <w:numId w:val="4"/>
        </w:numPr>
        <w:spacing w:after="80"/>
      </w:pPr>
      <w:r>
        <w:rPr>
          <w:rFonts w:ascii="Arial" w:cs="Arial" w:eastAsia="Arial" w:hAnsi="Arial"/>
          <w:color w:val="333333"/>
          <w:sz w:val="22"/>
          <w:szCs w:val="22"/>
        </w:rPr>
        <w:t xml:space="preserve">Geplanter Break-even: Monat 18–24</w:t>
      </w:r>
    </w:p>
    <w:p>
      <w:pPr>
        <w:pStyle w:val="ListParagraph"/>
        <w:numPr>
          <w:ilvl w:val="0"/>
          <w:numId w:val="4"/>
        </w:numPr>
        <w:spacing w:after="80"/>
      </w:pPr>
      <w:r>
        <w:rPr>
          <w:rFonts w:ascii="Arial" w:cs="Arial" w:eastAsia="Arial" w:hAnsi="Arial"/>
          <w:color w:val="333333"/>
          <w:sz w:val="22"/>
          <w:szCs w:val="22"/>
        </w:rPr>
        <w:t xml:space="preserve">Gross Margin pro Simulation: 65–85% (je nach LLM-Wahl)</w:t>
      </w:r>
    </w:p>
    <w:p>
      <w:pPr>
        <w:pStyle w:val="Heading2"/>
        <w:spacing w:after="200" w:before="360"/>
      </w:pPr>
      <w:r>
        <w:t xml:space="preserve">7.5 Investitionsbedarf</w:t>
      </w:r>
    </w:p>
    <w:p>
      <w:pPr>
        <w:pStyle w:val="ListParagraph"/>
        <w:numPr>
          <w:ilvl w:val="0"/>
          <w:numId w:val="4"/>
        </w:numPr>
        <w:spacing w:after="80"/>
      </w:pPr>
      <w:r>
        <w:rPr>
          <w:rFonts w:ascii="Arial" w:cs="Arial" w:eastAsia="Arial" w:hAnsi="Arial"/>
          <w:color w:val="333333"/>
          <w:sz w:val="22"/>
          <w:szCs w:val="22"/>
        </w:rPr>
        <w:t xml:space="preserve">Minimum (Lean, 1–2 Gruender mit Vibecoding): CHF 100’000–150’000</w:t>
      </w:r>
    </w:p>
    <w:p>
      <w:pPr>
        <w:pStyle w:val="ListParagraph"/>
        <w:numPr>
          <w:ilvl w:val="0"/>
          <w:numId w:val="4"/>
        </w:numPr>
        <w:spacing w:after="80"/>
      </w:pPr>
      <w:r>
        <w:rPr>
          <w:rFonts w:ascii="Arial" w:cs="Arial" w:eastAsia="Arial" w:hAnsi="Arial"/>
          <w:color w:val="333333"/>
          <w:sz w:val="22"/>
          <w:szCs w:val="22"/>
        </w:rPr>
        <w:t xml:space="preserve">Empfohlen (kleines Team, Marketing-Budget): CHF 200’000–350’000</w:t>
      </w:r>
    </w:p>
    <w:p>
      <w:pPr>
        <w:pStyle w:val="ListParagraph"/>
        <w:numPr>
          <w:ilvl w:val="0"/>
          <w:numId w:val="4"/>
        </w:numPr>
        <w:spacing w:after="80"/>
      </w:pPr>
      <w:r>
        <w:rPr>
          <w:rFonts w:ascii="Arial" w:cs="Arial" w:eastAsia="Arial" w:hAnsi="Arial"/>
          <w:color w:val="333333"/>
          <w:sz w:val="22"/>
          <w:szCs w:val="22"/>
        </w:rPr>
        <w:t xml:space="preserve">Finanzierungsquellen: Bootstrapping, Innosuisse, Venture Kick, Business Angels</w:t>
      </w:r>
    </w:p>
    <w:p>
      <w:r>
        <w:br w:type="page"/>
      </w:r>
    </w:p>
    <w:p>
      <w:pPr>
        <w:pStyle w:val="Heading1"/>
        <w:spacing w:after="200" w:before="360"/>
      </w:pPr>
      <w:r>
        <w:t xml:space="preserve">8. Regulatorische Anforderungen</w:t>
      </w:r>
    </w:p>
    <w:p>
      <w:pPr>
        <w:pStyle w:val="Heading2"/>
        <w:spacing w:after="200" w:before="360"/>
      </w:pPr>
      <w:r>
        <w:t xml:space="preserve">8.1 EU AI Act</w:t>
      </w:r>
    </w:p>
    <w:p>
      <w:pPr>
        <w:spacing w:after="160"/>
      </w:pPr>
      <w:r>
        <w:rPr>
          <w:rFonts w:ascii="Arial" w:cs="Arial" w:eastAsia="Arial" w:hAnsi="Arial"/>
          <w:b/>
          <w:bCs/>
          <w:color w:val="333333"/>
          <w:sz w:val="22"/>
          <w:szCs w:val="22"/>
        </w:rPr>
        <w:t xml:space="preserve">Risikoklassifizierung: </w:t>
      </w:r>
      <w:r>
        <w:rPr>
          <w:rFonts w:ascii="Arial" w:cs="Arial" w:eastAsia="Arial" w:hAnsi="Arial"/>
          <w:color w:val="333333"/>
          <w:sz w:val="22"/>
          <w:szCs w:val="22"/>
        </w:rPr>
        <w:t xml:space="preserve">SwarmSight AI faellt hoechstwahrscheinlich unter "Limited Risk" (Transparenzpflichten), nicht "High Risk".</w:t>
      </w:r>
    </w:p>
    <w:p>
      <w:pPr>
        <w:spacing w:after="160"/>
      </w:pPr>
      <w:r>
        <w:rPr>
          <w:rFonts w:ascii="Arial" w:cs="Arial" w:eastAsia="Arial" w:hAnsi="Arial"/>
          <w:color w:val="333333"/>
          <w:sz w:val="22"/>
          <w:szCs w:val="22"/>
        </w:rPr>
        <w:t xml:space="preserve">Allerdings besteht Naehe zu zwei verbotenen Praktiken:</w:t>
      </w:r>
    </w:p>
    <w:p>
      <w:pPr>
        <w:pStyle w:val="ListParagraph"/>
        <w:numPr>
          <w:ilvl w:val="0"/>
          <w:numId w:val="4"/>
        </w:numPr>
        <w:spacing w:after="80"/>
      </w:pPr>
      <w:r>
        <w:rPr>
          <w:rFonts w:ascii="Arial" w:cs="Arial" w:eastAsia="Arial" w:hAnsi="Arial"/>
          <w:color w:val="333333"/>
          <w:sz w:val="22"/>
          <w:szCs w:val="22"/>
        </w:rPr>
        <w:t xml:space="preserve">Art. 5(1)(a) Manipulationsverbot: Wenn Kunden das Tool nutzen, um manipulative Messaging-Strategien zu testen. Mitigation: AGB verbieten dies explizit.</w:t>
      </w:r>
    </w:p>
    <w:p>
      <w:pPr>
        <w:pStyle w:val="ListParagraph"/>
        <w:numPr>
          <w:ilvl w:val="0"/>
          <w:numId w:val="4"/>
        </w:numPr>
        <w:spacing w:after="80"/>
      </w:pPr>
      <w:r>
        <w:rPr>
          <w:rFonts w:ascii="Arial" w:cs="Arial" w:eastAsia="Arial" w:hAnsi="Arial"/>
          <w:color w:val="333333"/>
          <w:sz w:val="22"/>
          <w:szCs w:val="22"/>
        </w:rPr>
        <w:t xml:space="preserve">Art. 5(1)(c) Social-Scoring-Verbot: Wenn das Tool Personas bewertet/klassifiziert, die auf echte Personen uebertragbar sind. Mitigation: Rein synthetische Personas ohne Bezug zu Individuen.</w:t>
      </w:r>
    </w:p>
    <w:p>
      <w:pPr>
        <w:pStyle w:val="Heading3"/>
        <w:spacing w:after="200" w:before="360"/>
      </w:pPr>
      <w:r>
        <w:t xml:space="preserve">Pflichten ab 2. August 2026</w:t>
      </w:r>
    </w:p>
    <w:p>
      <w:pPr>
        <w:pStyle w:val="ListParagraph"/>
        <w:numPr>
          <w:ilvl w:val="0"/>
          <w:numId w:val="4"/>
        </w:numPr>
        <w:spacing w:after="80"/>
      </w:pPr>
      <w:r>
        <w:rPr>
          <w:rFonts w:ascii="Arial" w:cs="Arial" w:eastAsia="Arial" w:hAnsi="Arial"/>
          <w:color w:val="333333"/>
          <w:sz w:val="22"/>
          <w:szCs w:val="22"/>
        </w:rPr>
        <w:t xml:space="preserve">Transparenz: Alle KI-generierten Inhalte muessen maschinenlesbar als solche gekennzeichnet sein</w:t>
      </w:r>
    </w:p>
    <w:p>
      <w:pPr>
        <w:pStyle w:val="ListParagraph"/>
        <w:numPr>
          <w:ilvl w:val="0"/>
          <w:numId w:val="4"/>
        </w:numPr>
        <w:spacing w:after="80"/>
      </w:pPr>
      <w:r>
        <w:rPr>
          <w:rFonts w:ascii="Arial" w:cs="Arial" w:eastAsia="Arial" w:hAnsi="Arial"/>
          <w:color w:val="333333"/>
          <w:sz w:val="22"/>
          <w:szCs w:val="22"/>
        </w:rPr>
        <w:t xml:space="preserve">Offenlegung: Nutzer muessen wissen, dass sie mit KI interagieren</w:t>
      </w:r>
    </w:p>
    <w:p>
      <w:pPr>
        <w:pStyle w:val="ListParagraph"/>
        <w:numPr>
          <w:ilvl w:val="0"/>
          <w:numId w:val="4"/>
        </w:numPr>
        <w:spacing w:after="80"/>
      </w:pPr>
      <w:r>
        <w:rPr>
          <w:rFonts w:ascii="Arial" w:cs="Arial" w:eastAsia="Arial" w:hAnsi="Arial"/>
          <w:color w:val="333333"/>
          <w:sz w:val="22"/>
          <w:szCs w:val="22"/>
        </w:rPr>
        <w:t xml:space="preserve">Dokumentation: Technische Dokumentation des AI-Systems erforderlich</w:t>
      </w:r>
    </w:p>
    <w:p>
      <w:pPr>
        <w:pStyle w:val="Heading3"/>
        <w:spacing w:after="200" w:before="360"/>
      </w:pPr>
      <w:r>
        <w:t xml:space="preserve">Strafen bei Nicht-Compliance</w:t>
      </w:r>
    </w:p>
    <w:p>
      <w:pPr>
        <w:pStyle w:val="ListParagraph"/>
        <w:numPr>
          <w:ilvl w:val="0"/>
          <w:numId w:val="4"/>
        </w:numPr>
        <w:spacing w:after="80"/>
      </w:pPr>
      <w:r>
        <w:rPr>
          <w:rFonts w:ascii="Arial" w:cs="Arial" w:eastAsia="Arial" w:hAnsi="Arial"/>
          <w:color w:val="333333"/>
          <w:sz w:val="22"/>
          <w:szCs w:val="22"/>
        </w:rPr>
        <w:t xml:space="preserve">Verbotene Praktiken: bis EUR 35 Mio. oder 7% des weltweiten Umsatzes</w:t>
      </w:r>
    </w:p>
    <w:p>
      <w:pPr>
        <w:pStyle w:val="ListParagraph"/>
        <w:numPr>
          <w:ilvl w:val="0"/>
          <w:numId w:val="4"/>
        </w:numPr>
        <w:spacing w:after="80"/>
      </w:pPr>
      <w:r>
        <w:rPr>
          <w:rFonts w:ascii="Arial" w:cs="Arial" w:eastAsia="Arial" w:hAnsi="Arial"/>
          <w:color w:val="333333"/>
          <w:sz w:val="22"/>
          <w:szCs w:val="22"/>
        </w:rPr>
        <w:t xml:space="preserve">High-Risk Non-Compliance: bis EUR 15 Mio. oder 3%</w:t>
      </w:r>
    </w:p>
    <w:p>
      <w:pPr>
        <w:pStyle w:val="ListParagraph"/>
        <w:numPr>
          <w:ilvl w:val="0"/>
          <w:numId w:val="4"/>
        </w:numPr>
        <w:spacing w:after="80"/>
      </w:pPr>
      <w:r>
        <w:rPr>
          <w:rFonts w:ascii="Arial" w:cs="Arial" w:eastAsia="Arial" w:hAnsi="Arial"/>
          <w:color w:val="333333"/>
          <w:sz w:val="22"/>
          <w:szCs w:val="22"/>
        </w:rPr>
        <w:t xml:space="preserve">Irrefuehrende Informationen: bis EUR 7.5 Mio. oder 1%</w:t>
      </w:r>
    </w:p>
    <w:p>
      <w:pPr>
        <w:pStyle w:val="Heading2"/>
        <w:spacing w:after="200" w:before="360"/>
      </w:pPr>
      <w:r>
        <w:t xml:space="preserve">8.2 DSGVO / nDSG</w:t>
      </w:r>
    </w:p>
    <w:p>
      <w:pPr>
        <w:pStyle w:val="ListParagraph"/>
        <w:numPr>
          <w:ilvl w:val="0"/>
          <w:numId w:val="4"/>
        </w:numPr>
        <w:spacing w:after="80"/>
      </w:pPr>
      <w:r>
        <w:rPr>
          <w:rFonts w:ascii="Arial" w:cs="Arial" w:eastAsia="Arial" w:hAnsi="Arial"/>
          <w:color w:val="333333"/>
          <w:sz w:val="22"/>
          <w:szCs w:val="22"/>
        </w:rPr>
        <w:t xml:space="preserve">Rein synthetische Personas: wahrscheinlich ausserhalb des DSGVO-Scopes</w:t>
      </w:r>
    </w:p>
    <w:p>
      <w:pPr>
        <w:pStyle w:val="ListParagraph"/>
        <w:numPr>
          <w:ilvl w:val="0"/>
          <w:numId w:val="4"/>
        </w:numPr>
        <w:spacing w:after="80"/>
      </w:pPr>
      <w:r>
        <w:rPr>
          <w:rFonts w:ascii="Arial" w:cs="Arial" w:eastAsia="Arial" w:hAnsi="Arial"/>
          <w:color w:val="333333"/>
          <w:sz w:val="22"/>
          <w:szCs w:val="22"/>
        </w:rPr>
        <w:t xml:space="preserve">Datenschutz-Folgenabschaetzung (DPIA) empfohlen</w:t>
      </w:r>
    </w:p>
    <w:p>
      <w:pPr>
        <w:pStyle w:val="ListParagraph"/>
        <w:numPr>
          <w:ilvl w:val="0"/>
          <w:numId w:val="4"/>
        </w:numPr>
        <w:spacing w:after="80"/>
      </w:pPr>
      <w:r>
        <w:rPr>
          <w:rFonts w:ascii="Arial" w:cs="Arial" w:eastAsia="Arial" w:hAnsi="Arial"/>
          <w:color w:val="333333"/>
          <w:sz w:val="22"/>
          <w:szCs w:val="22"/>
        </w:rPr>
        <w:t xml:space="preserve">Privacy-by-Design-Ansatz dokumentieren</w:t>
      </w:r>
    </w:p>
    <w:p>
      <w:pPr>
        <w:pStyle w:val="ListParagraph"/>
        <w:numPr>
          <w:ilvl w:val="0"/>
          <w:numId w:val="4"/>
        </w:numPr>
        <w:spacing w:after="80"/>
      </w:pPr>
      <w:r>
        <w:rPr>
          <w:rFonts w:ascii="Arial" w:cs="Arial" w:eastAsia="Arial" w:hAnsi="Arial"/>
          <w:color w:val="333333"/>
          <w:sz w:val="22"/>
          <w:szCs w:val="22"/>
        </w:rPr>
        <w:t xml:space="preserve">Schweizer nDSG: Aehnliche Anforderungen, aber leichterer regulatorischer Rahmen</w:t>
      </w:r>
    </w:p>
    <w:p>
      <w:pPr>
        <w:pStyle w:val="ListParagraph"/>
        <w:numPr>
          <w:ilvl w:val="0"/>
          <w:numId w:val="4"/>
        </w:numPr>
        <w:spacing w:after="80"/>
      </w:pPr>
      <w:r>
        <w:rPr>
          <w:rFonts w:ascii="Arial" w:cs="Arial" w:eastAsia="Arial" w:hAnsi="Arial"/>
          <w:color w:val="333333"/>
          <w:sz w:val="22"/>
          <w:szCs w:val="22"/>
        </w:rPr>
        <w:t xml:space="preserve">Schweiz hat kein eigenes AI-Gesetz; Entwurf fruehestens Ende 2026</w:t>
      </w:r>
    </w:p>
    <w:p>
      <w:r>
        <w:br w:type="page"/>
      </w:r>
    </w:p>
    <w:p>
      <w:pPr>
        <w:pStyle w:val="Heading1"/>
        <w:spacing w:after="200" w:before="360"/>
      </w:pPr>
      <w:r>
        <w:t xml:space="preserve">9. Risiken &amp; Mitigationsstrategien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4826"/>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Risiko</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W-keit</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c>
          <w:tcPr>
            <w:tcW w:type="dxa" w:w="4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Artificial Societies oder aehnliche Plattform baut Multi-Round-Simulation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Fundamentaler Architekturvorteil (Multi-Round-Simulation vs. Single-Pass). Zusaetzlich: DACH-Lokalisierung, PR-Spezialisierung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LLM-Kosten steigen oder APIs aendern sich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Multi-Provider-Strategie, Self-Hosting als Fallback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OASIS-Projekt wird nicht weiterentwickelt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Fork erstellen, Core-Features internalisieren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Kunden vertrauen synthetischen Vorhersagen nicht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Validierungsstudien, Case Studies, qualitative Positionierung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Regulatorische Verschaerfung (EU AI Act)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Proaktive Compliance, Rechtsberatung, Monitoring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Brandwatch/Meltwater baut praediktives Feature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Mittel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First-Mover in Nische, Community, OASIS-basierte Tiefe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Simile/Aaru bieten guenstigere Tiers 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Niedrig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Hoch</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Open-Source-Basis, DACH-Lokalisierung, Preisflexibilitaet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Missbrauch (Desinformation, Astroturfing)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Niedrig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Sehr hoch</w:t>
            </w:r>
          </w:p>
        </w:tc>
        <w:tc>
          <w:tcPr>
            <w:tcW w:type="dxa" w:w="4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KYC, Usage Monitoring, Acceptable Use Policy, AI-Kennzeichnung</w:t>
            </w:r>
          </w:p>
        </w:tc>
      </w:tr>
    </w:tbl>
    <w:p>
      <w:r>
        <w:br w:type="page"/>
      </w:r>
    </w:p>
    <w:p>
      <w:pPr>
        <w:pStyle w:val="Heading1"/>
        <w:spacing w:after="200" w:before="360"/>
      </w:pPr>
      <w:r>
        <w:t xml:space="preserve">10. Team &amp; Organisation</w:t>
      </w:r>
    </w:p>
    <w:p>
      <w:pPr>
        <w:pStyle w:val="Heading2"/>
        <w:spacing w:after="200" w:before="360"/>
      </w:pPr>
      <w:r>
        <w:t xml:space="preserve">10.1 Empfohlene Teamstruktur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Rolle</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Profil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Aufwand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CEO / Product Owner</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Business Development, PR-/Komm.-Branche verstehen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CTO / Lead Developer</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Python, LLM-Orchestrierung, Cloud Architecture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Frontend Developer</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Vue.js, UX/UI, Datenvisualisierung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50–100%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AI/ML Engineer (ab Phase 2)</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Prompt Engineering, Fine-Tuning, OASIS-Customization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50–100%</w:t>
            </w:r>
          </w:p>
        </w:tc>
      </w:tr>
    </w:tbl>
    <w:p>
      <w:pPr>
        <w:spacing w:after="160"/>
      </w:pPr>
      <w:r>
        <w:rPr>
          <w:rFonts w:ascii="Arial" w:cs="Arial" w:eastAsia="Arial" w:hAnsi="Arial"/>
          <w:color w:val="333333"/>
          <w:sz w:val="22"/>
          <w:szCs w:val="22"/>
        </w:rPr>
        <w:t xml:space="preserve"/>
      </w:r>
    </w:p>
    <w:p>
      <w:pPr>
        <w:pStyle w:val="Heading2"/>
        <w:spacing w:after="200" w:before="360"/>
      </w:pPr>
      <w:r>
        <w:t xml:space="preserve">10.2 Rechtsform &amp; Standort</w:t>
      </w:r>
    </w:p>
    <w:p>
      <w:pPr>
        <w:pStyle w:val="ListParagraph"/>
        <w:numPr>
          <w:ilvl w:val="0"/>
          <w:numId w:val="4"/>
        </w:numPr>
        <w:spacing w:after="80"/>
      </w:pPr>
      <w:r>
        <w:rPr>
          <w:rFonts w:ascii="Arial" w:cs="Arial" w:eastAsia="Arial" w:hAnsi="Arial"/>
          <w:color w:val="333333"/>
          <w:sz w:val="22"/>
          <w:szCs w:val="22"/>
        </w:rPr>
        <w:t xml:space="preserve">Empfohlene Rechtsform: Schweizer GmbH (einfache Gruendung, Kapitalanforderung CHF 20’000)</w:t>
      </w:r>
    </w:p>
    <w:p>
      <w:pPr>
        <w:pStyle w:val="ListParagraph"/>
        <w:numPr>
          <w:ilvl w:val="0"/>
          <w:numId w:val="4"/>
        </w:numPr>
        <w:spacing w:after="80"/>
      </w:pPr>
      <w:r>
        <w:rPr>
          <w:rFonts w:ascii="Arial" w:cs="Arial" w:eastAsia="Arial" w:hAnsi="Arial"/>
          <w:color w:val="333333"/>
          <w:sz w:val="22"/>
          <w:szCs w:val="22"/>
        </w:rPr>
        <w:t xml:space="preserve">Standort: Zuerich (Naehe zu Kunden, Startup-Oekosystem, Talentpool)</w:t>
      </w:r>
    </w:p>
    <w:p>
      <w:pPr>
        <w:pStyle w:val="ListParagraph"/>
        <w:numPr>
          <w:ilvl w:val="0"/>
          <w:numId w:val="4"/>
        </w:numPr>
        <w:spacing w:after="80"/>
      </w:pPr>
      <w:r>
        <w:rPr>
          <w:rFonts w:ascii="Arial" w:cs="Arial" w:eastAsia="Arial" w:hAnsi="Arial"/>
          <w:color w:val="333333"/>
          <w:sz w:val="22"/>
          <w:szCs w:val="22"/>
        </w:rPr>
        <w:t xml:space="preserve">Alternative: Deutsche GmbH (groesserer Markt, EU-Sitz fuer Compliance)</w:t>
      </w:r>
    </w:p>
    <w:p>
      <w:r>
        <w:br w:type="page"/>
      </w:r>
    </w:p>
    <w:p>
      <w:pPr>
        <w:pStyle w:val="Heading1"/>
        <w:spacing w:after="200" w:before="360"/>
      </w:pPr>
      <w:r>
        <w:t xml:space="preserve">11. Meilensteine &amp; Zeitplan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Meilenstein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Zeitpunkt</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Kriterium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Gruendung &amp; Setup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1</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GmbH registriert, Infrastruktur steht, Team komplett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MVP fertig (Alpha)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3</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Erste End-to-End-Simulation, 3–5 Alpha-Tester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Closed Beta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5</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10–15 Beta-Kunden (PR-Agenturen), Feedback-Loop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Public Launch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7</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Pricing live, Website, erste Case Studies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 zahlende Kunden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9</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Product-Market-Fit validiert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50 zahlende Kunden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15–18</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Skalierung beginnt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Break-even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18–24</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MRR deckt laufende Kosten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Europa-Expansion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Monat 18–24</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color w:val="333333"/>
                <w:sz w:val="20"/>
                <w:szCs w:val="20"/>
              </w:rPr>
              <w:t xml:space="preserve">UK, Frankreich, Nordics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Seed-Runde (optional)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Monat 12–18</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CHF 500k–1M fuer Skalierung</w:t>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
      </w:r>
    </w:p>
    <w:p>
      <w:pPr>
        <w:pStyle w:val="Heading1"/>
        <w:spacing w:after="200" w:before="360"/>
      </w:pPr>
      <w:r>
        <w:t xml:space="preserve">Disclaimer</w:t>
      </w:r>
    </w:p>
    <w:p>
      <w:pPr>
        <w:spacing w:after="160"/>
      </w:pPr>
      <w:r>
        <w:rPr>
          <w:rFonts w:ascii="Arial" w:cs="Arial" w:eastAsia="Arial" w:hAnsi="Arial"/>
          <w:color w:val="333333"/>
          <w:sz w:val="22"/>
          <w:szCs w:val="22"/>
        </w:rPr>
        <w:t xml:space="preserve">Dieser Businessplan basiert auf Marktrecherchen und Schaetzungen vom April 2026. Alle Finanzprojektionen sind Prognosen und keine Garantien. Marktdaten stammen aus oeffentlich zugaenglichen Quellen (Mordor Intelligence, Fortune Business Insights, Statista, PR-Journal, Gartner u.a.). Die tatsaechlichen Ergebnisse koennen erheblich von den hier dargestellten Szenarien abweichen.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SwarmSight AI — Businessplan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2026-03-31T22:20:16.799Z</dcterms:created>
  <dcterms:modified xsi:type="dcterms:W3CDTF">2026-03-31T22:20:16.805Z</dcterms:modified>
</cp:coreProperties>
</file>

<file path=docProps/custom.xml><?xml version="1.0" encoding="utf-8"?>
<Properties xmlns="http://schemas.openxmlformats.org/officeDocument/2006/custom-properties" xmlns:vt="http://schemas.openxmlformats.org/officeDocument/2006/docPropsVTypes"/>
</file>