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3.png" ContentType="image/png"/>
  <Override PartName="/word/media/rId60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78.png" ContentType="image/png"/>
  <Override PartName="/word/media/rId24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90.png" ContentType="image/png"/>
  <Override PartName="/word/media/rId94.png" ContentType="image/png"/>
  <Override PartName="/word/media/rId97.png" ContentType="image/png"/>
  <Override PartName="/word/media/rId100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Арифметические</w:t>
      </w:r>
      <w:r>
        <w:t xml:space="preserve"> </w:t>
      </w:r>
      <w:r>
        <w:t xml:space="preserve">операции</w:t>
      </w:r>
      <w:r>
        <w:t xml:space="preserve"> </w:t>
      </w:r>
      <w:r>
        <w:t xml:space="preserve">в</w:t>
      </w:r>
      <w:r>
        <w:t xml:space="preserve"> </w:t>
      </w:r>
      <w:r>
        <w:t xml:space="preserve">NASM</w:t>
      </w:r>
    </w:p>
    <w:p>
      <w:pPr>
        <w:pStyle w:val="Author"/>
      </w:pPr>
      <w:r>
        <w:t xml:space="preserve">Андрюшин</w:t>
      </w:r>
      <w:r>
        <w:t xml:space="preserve"> </w:t>
      </w:r>
      <w:r>
        <w:t xml:space="preserve">Никита</w:t>
      </w:r>
      <w:r>
        <w:t xml:space="preserve"> </w:t>
      </w:r>
      <w:r>
        <w:t xml:space="preserve">Сергеевич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Познакомиться с базовыми инструкциями языка Ассемблер, отвечающими за основные арифметические операции</w:t>
      </w:r>
    </w:p>
    <w:bookmarkEnd w:id="20"/>
    <w:bookmarkStart w:id="93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Для начала выполнения лабораторной работы необходимо создать папку рабочего каталога и файл lab6-1.asm (Рис. 2.1):</w:t>
      </w:r>
    </w:p>
    <w:p>
      <w:pPr>
        <w:pStyle w:val="CaptionedFigure"/>
      </w:pPr>
      <w:r>
        <w:drawing>
          <wp:inline>
            <wp:extent cx="5334000" cy="658780"/>
            <wp:effectExtent b="0" l="0" r="0" t="0"/>
            <wp:docPr descr="Создание рабочей директории и файла lab6-1.nasm для записи кода на языке Ассемблера" title="fig: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587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рабочей директории и файла lab6-1.nasm для записи кода на языке Ассемблера</w:t>
      </w:r>
    </w:p>
    <w:p>
      <w:pPr>
        <w:pStyle w:val="BodyText"/>
      </w:pPr>
      <w:r>
        <w:t xml:space="preserve">После этого, для более комфортной работы, запустим Midnight commander (Рис. 2.2):</w:t>
      </w:r>
    </w:p>
    <w:p>
      <w:pPr>
        <w:pStyle w:val="CaptionedFigure"/>
      </w:pPr>
      <w:r>
        <w:drawing>
          <wp:inline>
            <wp:extent cx="5334000" cy="272411"/>
            <wp:effectExtent b="0" l="0" r="0" t="0"/>
            <wp:docPr descr="Запуск Midnight commander" title="fig: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24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Midnight commander</w:t>
      </w:r>
    </w:p>
    <w:p>
      <w:pPr>
        <w:pStyle w:val="BodyText"/>
      </w:pPr>
      <w:r>
        <w:t xml:space="preserve">Вставим в наш созданный файл код из листинга 6.1 с помощью команды F4 (редактор) в MC (Рис. 2.3):</w:t>
      </w:r>
    </w:p>
    <w:p>
      <w:pPr>
        <w:pStyle w:val="CaptionedFigure"/>
      </w:pPr>
      <w:r>
        <w:drawing>
          <wp:inline>
            <wp:extent cx="5334000" cy="2180566"/>
            <wp:effectExtent b="0" l="0" r="0" t="0"/>
            <wp:docPr descr="Запись кода из листинга в файл lab6-1.asm" title="fig: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805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Запись кода из листинга в файл lab6-1.asm</w:t>
      </w:r>
    </w:p>
    <w:p>
      <w:pPr>
        <w:pStyle w:val="BodyText"/>
      </w:pPr>
      <w:r>
        <w:t xml:space="preserve">Перед сборкой файла стоит учесть, что он использует сторонний файл in_out.asm. С помощью команды F5 скопируем его из каталога пятой лабораторной работы (Рис. 2.4):</w:t>
      </w:r>
    </w:p>
    <w:p>
      <w:pPr>
        <w:pStyle w:val="CaptionedFigure"/>
      </w:pPr>
      <w:r>
        <w:drawing>
          <wp:inline>
            <wp:extent cx="5334000" cy="3183951"/>
            <wp:effectExtent b="0" l="0" r="0" t="0"/>
            <wp:docPr descr="Копирование файла in_out.asm в рабочую директорию" title="fig:" id="31" name="Picture"/>
            <a:graphic>
              <a:graphicData uri="http://schemas.openxmlformats.org/drawingml/2006/picture">
                <pic:pic>
                  <pic:nvPicPr>
                    <pic:cNvPr descr="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839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файла in_out.asm в рабочую директорию</w:t>
      </w:r>
    </w:p>
    <w:p>
      <w:pPr>
        <w:pStyle w:val="BodyText"/>
      </w:pPr>
      <w:r>
        <w:t xml:space="preserve">Так будет выглядеть наша рабочая директория (Рис. 2.5):</w:t>
      </w:r>
    </w:p>
    <w:p>
      <w:pPr>
        <w:pStyle w:val="CaptionedFigure"/>
      </w:pPr>
      <w:r>
        <w:drawing>
          <wp:inline>
            <wp:extent cx="5334000" cy="2308834"/>
            <wp:effectExtent b="0" l="0" r="0" t="0"/>
            <wp:docPr descr="Вид каталога после перенесения файла in_out.asm" title="fig:" id="34" name="Picture"/>
            <a:graphic>
              <a:graphicData uri="http://schemas.openxmlformats.org/drawingml/2006/picture">
                <pic:pic>
                  <pic:nvPicPr>
                    <pic:cNvPr descr="image/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088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Вид каталога после перенесения файла in_out.asm</w:t>
      </w:r>
    </w:p>
    <w:p>
      <w:pPr>
        <w:pStyle w:val="BodyText"/>
      </w:pPr>
      <w:r>
        <w:t xml:space="preserve">Теперь соберём наш файл в исполняемое приложение уже знакомыми инструментами, nasm и ld (Рис. 2.6):</w:t>
      </w:r>
    </w:p>
    <w:p>
      <w:pPr>
        <w:pStyle w:val="CaptionedFigure"/>
      </w:pPr>
      <w:r>
        <w:drawing>
          <wp:inline>
            <wp:extent cx="5334000" cy="395767"/>
            <wp:effectExtent b="0" l="0" r="0" t="0"/>
            <wp:docPr descr="Сборка исполняемого файла из lab6-1.asm" title="fig:" id="37" name="Picture"/>
            <a:graphic>
              <a:graphicData uri="http://schemas.openxmlformats.org/drawingml/2006/picture">
                <pic:pic>
                  <pic:nvPicPr>
                    <pic:cNvPr descr="image/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7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Сборка исполняемого файла из lab6-1.asm</w:t>
      </w:r>
    </w:p>
    <w:p>
      <w:pPr>
        <w:pStyle w:val="BodyText"/>
      </w:pPr>
      <w:r>
        <w:t xml:space="preserve">Теперь запустим файл и посмотрим на результат (Рис. 2.7):</w:t>
      </w:r>
    </w:p>
    <w:p>
      <w:pPr>
        <w:pStyle w:val="CaptionedFigure"/>
      </w:pPr>
      <w:r>
        <w:drawing>
          <wp:inline>
            <wp:extent cx="5334000" cy="395767"/>
            <wp:effectExtent b="0" l="0" r="0" t="0"/>
            <wp:docPr descr="Запуск исполняемого файла и результат вывода" title="fig:" id="40" name="Picture"/>
            <a:graphic>
              <a:graphicData uri="http://schemas.openxmlformats.org/drawingml/2006/picture">
                <pic:pic>
                  <pic:nvPicPr>
                    <pic:cNvPr descr="image/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7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исполняемого файла и результат вывода</w:t>
      </w:r>
    </w:p>
    <w:p>
      <w:pPr>
        <w:pStyle w:val="BodyText"/>
      </w:pPr>
      <w:r>
        <w:t xml:space="preserve">Нам выводит символ j, однако это неправильный вывод. Наша цель - сложить 6 и 4, и получить в выводе число 10. Попробуем изменить наш файл (Рис. 2.8):</w:t>
      </w:r>
    </w:p>
    <w:p>
      <w:pPr>
        <w:pStyle w:val="CaptionedFigure"/>
      </w:pPr>
      <w:r>
        <w:drawing>
          <wp:inline>
            <wp:extent cx="5334000" cy="1955209"/>
            <wp:effectExtent b="0" l="0" r="0" t="0"/>
            <wp:docPr descr="Редактирование файла" title="fig:" id="43" name="Picture"/>
            <a:graphic>
              <a:graphicData uri="http://schemas.openxmlformats.org/drawingml/2006/picture">
                <pic:pic>
                  <pic:nvPicPr>
                    <pic:cNvPr descr="image/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552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файла</w:t>
      </w:r>
    </w:p>
    <w:p>
      <w:pPr>
        <w:pStyle w:val="BodyText"/>
      </w:pPr>
      <w:r>
        <w:t xml:space="preserve">Мы убрали кавычки у цифр, и теперь мы складываем уже не символы</w:t>
      </w:r>
      <w:r>
        <w:t xml:space="preserve"> </w:t>
      </w:r>
      <w:r>
        <w:t xml:space="preserve">“</w:t>
      </w:r>
      <w:r>
        <w:t xml:space="preserve">6</w:t>
      </w:r>
      <w:r>
        <w:t xml:space="preserve">”</w:t>
      </w:r>
      <w:r>
        <w:t xml:space="preserve"> </w:t>
      </w:r>
      <w:r>
        <w:t xml:space="preserve">и</w:t>
      </w:r>
      <w:r>
        <w:t xml:space="preserve"> </w:t>
      </w:r>
      <w:r>
        <w:t xml:space="preserve">“</w:t>
      </w:r>
      <w:r>
        <w:t xml:space="preserve">4</w:t>
      </w:r>
      <w:r>
        <w:t xml:space="preserve">”</w:t>
      </w:r>
      <w:r>
        <w:t xml:space="preserve"> </w:t>
      </w:r>
      <w:r>
        <w:t xml:space="preserve">(когда мы складываем символы, мы складываем их коды ASCII), а числа. Теперь попробуем собрать исполняемый исполняемый файл также, как собирали до этого, и запустим (Рис. 2.9):</w:t>
      </w:r>
    </w:p>
    <w:p>
      <w:pPr>
        <w:pStyle w:val="CaptionedFigure"/>
      </w:pPr>
      <w:r>
        <w:drawing>
          <wp:inline>
            <wp:extent cx="5334000" cy="433610"/>
            <wp:effectExtent b="0" l="0" r="0" t="0"/>
            <wp:docPr descr="Запуск исполняемого файла и результат вывода" title="fig:" id="46" name="Picture"/>
            <a:graphic>
              <a:graphicData uri="http://schemas.openxmlformats.org/drawingml/2006/picture">
                <pic:pic>
                  <pic:nvPicPr>
                    <pic:cNvPr descr="image/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36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исполняемого файла и результат вывода</w:t>
      </w:r>
    </w:p>
    <w:p>
      <w:pPr>
        <w:pStyle w:val="BodyText"/>
      </w:pPr>
      <w:r>
        <w:t xml:space="preserve">Мы видим, что ничего не вывелось. Но так ли это? Когда мы вызываем команду sprintLF, она выводит не число 10, а символ с номером 10. Посмотрим на таблицу ASCII и увидим, что символ под номером 10 это символ перевода строки. Именно поэтому мы его не видим, мы видим просто новую строку.</w:t>
      </w:r>
      <w:r>
        <w:t xml:space="preserve"> </w:t>
      </w:r>
      <w:r>
        <w:t xml:space="preserve">Теперь создадим второй файл под названием lab6-2.asm (Рис. 2.10):</w:t>
      </w:r>
    </w:p>
    <w:p>
      <w:pPr>
        <w:pStyle w:val="CaptionedFigure"/>
      </w:pPr>
      <w:r>
        <w:drawing>
          <wp:inline>
            <wp:extent cx="5334000" cy="449926"/>
            <wp:effectExtent b="0" l="0" r="0" t="0"/>
            <wp:docPr descr="Создание второго файла: lab6-2.asm" title="fig: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99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второго файла: lab6-2.asm</w:t>
      </w:r>
    </w:p>
    <w:p>
      <w:pPr>
        <w:pStyle w:val="BodyText"/>
      </w:pPr>
      <w:r>
        <w:t xml:space="preserve">Теперь вставим в него код из листинга 6.2 (Рис. 2.11):</w:t>
      </w:r>
    </w:p>
    <w:p>
      <w:pPr>
        <w:pStyle w:val="CaptionedFigure"/>
      </w:pPr>
      <w:r>
        <w:drawing>
          <wp:inline>
            <wp:extent cx="5334000" cy="1468182"/>
            <wp:effectExtent b="0" l="0" r="0" t="0"/>
            <wp:docPr descr="Запись кода из листинга в файл lab6-2.asm" title="fig:" id="52" name="Picture"/>
            <a:graphic>
              <a:graphicData uri="http://schemas.openxmlformats.org/drawingml/2006/picture">
                <pic:pic>
                  <pic:nvPicPr>
                    <pic:cNvPr descr="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681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Запись кода из листинга в файл lab6-2.asm</w:t>
      </w:r>
    </w:p>
    <w:p>
      <w:pPr>
        <w:pStyle w:val="BodyText"/>
      </w:pPr>
      <w:r>
        <w:t xml:space="preserve">Как мы видим, основное отличие заключается в том, что вместо sprintLF используется iprintLF. Соберём файл и запустим его, чтобы посмотреть, как изменится вывод (Рис. 2.12):</w:t>
      </w:r>
    </w:p>
    <w:p>
      <w:pPr>
        <w:pStyle w:val="CaptionedFigure"/>
      </w:pPr>
      <w:r>
        <w:drawing>
          <wp:inline>
            <wp:extent cx="5334000" cy="444006"/>
            <wp:effectExtent b="0" l="0" r="0" t="0"/>
            <wp:docPr descr="Запуск исполняемого файла и результат вывода" title="fig:" id="55" name="Picture"/>
            <a:graphic>
              <a:graphicData uri="http://schemas.openxmlformats.org/drawingml/2006/picture">
                <pic:pic>
                  <pic:nvPicPr>
                    <pic:cNvPr descr="image/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0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исполняемого файла и результат вывода</w:t>
      </w:r>
    </w:p>
    <w:p>
      <w:pPr>
        <w:pStyle w:val="BodyText"/>
      </w:pPr>
      <w:r>
        <w:t xml:space="preserve">Мы видим число 106. Так как цифры в коде указаны в кавычках, мы складываем их коды (54 и 52 в сумме дают 106). Теперь программа способна вывести число, а не символ ASCII с соответствующим номером. Теперь, если мы уберём кавычки у цифр, программа должна вывести 10. Убедимся в этом, сделав соответствующие изменения в коде (Рис. 2.13):</w:t>
      </w:r>
    </w:p>
    <w:p>
      <w:pPr>
        <w:pStyle w:val="CaptionedFigure"/>
      </w:pPr>
      <w:r>
        <w:drawing>
          <wp:inline>
            <wp:extent cx="5334000" cy="1450421"/>
            <wp:effectExtent b="0" l="0" r="0" t="0"/>
            <wp:docPr descr="Изменение файла lab6-2.asm" title="fig:" id="58" name="Picture"/>
            <a:graphic>
              <a:graphicData uri="http://schemas.openxmlformats.org/drawingml/2006/picture">
                <pic:pic>
                  <pic:nvPicPr>
                    <pic:cNvPr descr="image/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504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файла lab6-2.asm</w:t>
      </w:r>
    </w:p>
    <w:p>
      <w:pPr>
        <w:pStyle w:val="BodyText"/>
      </w:pPr>
      <w:r>
        <w:t xml:space="preserve">Соберём программу и запустим её (Рис. 2.14):</w:t>
      </w:r>
    </w:p>
    <w:p>
      <w:pPr>
        <w:pStyle w:val="CaptionedFigure"/>
      </w:pPr>
      <w:r>
        <w:drawing>
          <wp:inline>
            <wp:extent cx="5334000" cy="816972"/>
            <wp:effectExtent b="0" l="0" r="0" t="0"/>
            <wp:docPr descr="Сборка исполняемого файла и результат работы программы" title="fig:" id="61" name="Picture"/>
            <a:graphic>
              <a:graphicData uri="http://schemas.openxmlformats.org/drawingml/2006/picture">
                <pic:pic>
                  <pic:nvPicPr>
                    <pic:cNvPr descr="image/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169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Сборка исполняемого файла и результат работы программы</w:t>
      </w:r>
    </w:p>
    <w:p>
      <w:pPr>
        <w:pStyle w:val="BodyText"/>
      </w:pPr>
      <w:r>
        <w:t xml:space="preserve">Как видим, программа действительно вывела число 10. Кроме операции iprintLF в файле in_out.asm есть операция iprint. Посмотрим, чем они отличаются. Заменим в коде iprintLF на iprint (Рис. 2.15):</w:t>
      </w:r>
    </w:p>
    <w:p>
      <w:pPr>
        <w:pStyle w:val="CaptionedFigure"/>
      </w:pPr>
      <w:r>
        <w:drawing>
          <wp:inline>
            <wp:extent cx="5334000" cy="1606697"/>
            <wp:effectExtent b="0" l="0" r="0" t="0"/>
            <wp:docPr descr="Редактирование файла lab6-2.asm" title="fig:" id="64" name="Picture"/>
            <a:graphic>
              <a:graphicData uri="http://schemas.openxmlformats.org/drawingml/2006/picture">
                <pic:pic>
                  <pic:nvPicPr>
                    <pic:cNvPr descr="image/14.1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066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файла lab6-2.asm</w:t>
      </w:r>
    </w:p>
    <w:p>
      <w:pPr>
        <w:pStyle w:val="BodyText"/>
      </w:pPr>
      <w:r>
        <w:t xml:space="preserve">Попробуем собрать программу и запустить её (Рис. 2.16):</w:t>
      </w:r>
    </w:p>
    <w:p>
      <w:pPr>
        <w:pStyle w:val="CaptionedFigure"/>
      </w:pPr>
      <w:r>
        <w:drawing>
          <wp:inline>
            <wp:extent cx="5334000" cy="686730"/>
            <wp:effectExtent b="0" l="0" r="0" t="0"/>
            <wp:docPr descr="Сборка и результат работы отредактированного файла" title="fig:" id="67" name="Picture"/>
            <a:graphic>
              <a:graphicData uri="http://schemas.openxmlformats.org/drawingml/2006/picture">
                <pic:pic>
                  <pic:nvPicPr>
                    <pic:cNvPr descr="image/15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86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Сборка и результат работы отредактированного файла</w:t>
      </w:r>
    </w:p>
    <w:p>
      <w:pPr>
        <w:pStyle w:val="BodyText"/>
      </w:pPr>
      <w:r>
        <w:t xml:space="preserve">Как видим, операция iprint не переносит на следующую строку, в отличие от iprintLF. В этом их разница.</w:t>
      </w:r>
      <w:r>
        <w:t xml:space="preserve"> </w:t>
      </w:r>
      <w:r>
        <w:t xml:space="preserve">Теперь создадим третий файл (Рис. 2.17):</w:t>
      </w:r>
    </w:p>
    <w:p>
      <w:pPr>
        <w:pStyle w:val="CaptionedFigure"/>
      </w:pPr>
      <w:r>
        <w:drawing>
          <wp:inline>
            <wp:extent cx="5334000" cy="426246"/>
            <wp:effectExtent b="0" l="0" r="0" t="0"/>
            <wp:docPr descr="Создание третьего файла: lab6-3.asm" title="fig:" id="70" name="Picture"/>
            <a:graphic>
              <a:graphicData uri="http://schemas.openxmlformats.org/drawingml/2006/picture">
                <pic:pic>
                  <pic:nvPicPr>
                    <pic:cNvPr descr="image/16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2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третьего файла: lab6-3.asm</w:t>
      </w:r>
    </w:p>
    <w:p>
      <w:pPr>
        <w:pStyle w:val="BodyText"/>
      </w:pPr>
      <w:r>
        <w:t xml:space="preserve">Он должен выводить значение функции (5*2+3)/3. Для этого вставим код из файла листинга 6.3 (Рис. 2.18):</w:t>
      </w:r>
    </w:p>
    <w:p>
      <w:pPr>
        <w:pStyle w:val="CaptionedFigure"/>
      </w:pPr>
      <w:r>
        <w:drawing>
          <wp:inline>
            <wp:extent cx="5334000" cy="3208688"/>
            <wp:effectExtent b="0" l="0" r="0" t="0"/>
            <wp:docPr descr="Вставка кода из листинга в созданный ранее файл" title="fig:" id="73" name="Picture"/>
            <a:graphic>
              <a:graphicData uri="http://schemas.openxmlformats.org/drawingml/2006/picture">
                <pic:pic>
                  <pic:nvPicPr>
                    <pic:cNvPr descr="image/17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86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Вставка кода из листинга в созданный ранее файл</w:t>
      </w:r>
    </w:p>
    <w:p>
      <w:pPr>
        <w:pStyle w:val="BodyText"/>
      </w:pPr>
      <w:r>
        <w:t xml:space="preserve">Попробуем запустить этот программу, предварительно её собрав (Рис. 2.19):</w:t>
      </w:r>
    </w:p>
    <w:p>
      <w:pPr>
        <w:pStyle w:val="CaptionedFigure"/>
      </w:pPr>
      <w:r>
        <w:drawing>
          <wp:inline>
            <wp:extent cx="5334000" cy="922288"/>
            <wp:effectExtent b="0" l="0" r="0" t="0"/>
            <wp:docPr descr="Сборка файла lab6-3.asm и результат его работы" title="fig:" id="76" name="Picture"/>
            <a:graphic>
              <a:graphicData uri="http://schemas.openxmlformats.org/drawingml/2006/picture">
                <pic:pic>
                  <pic:nvPicPr>
                    <pic:cNvPr descr="image/18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222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Сборка файла lab6-3.asm и результат его работы</w:t>
      </w:r>
    </w:p>
    <w:p>
      <w:pPr>
        <w:pStyle w:val="BodyText"/>
      </w:pPr>
      <w:r>
        <w:t xml:space="preserve">Полученный результат совпадает с результатом, указанным в лабораторной работе. Теперь изменим файл так, чтобы он вычислял значение выражения (4*6+2)/5. Для этого в коде заменим число 5 на 4, число 2 на 6, число 3 на 2, и второе число 3 на 5 (Рис. 2.20):</w:t>
      </w:r>
    </w:p>
    <w:p>
      <w:pPr>
        <w:pStyle w:val="CaptionedFigure"/>
      </w:pPr>
      <w:r>
        <w:drawing>
          <wp:inline>
            <wp:extent cx="5334000" cy="3178077"/>
            <wp:effectExtent b="0" l="0" r="0" t="0"/>
            <wp:docPr descr="Редактирование файла lab6-3.asm" title="fig:" id="79" name="Picture"/>
            <a:graphic>
              <a:graphicData uri="http://schemas.openxmlformats.org/drawingml/2006/picture">
                <pic:pic>
                  <pic:nvPicPr>
                    <pic:cNvPr descr="image/19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780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файла lab6-3.asm</w:t>
      </w:r>
    </w:p>
    <w:p>
      <w:pPr>
        <w:pStyle w:val="BodyText"/>
      </w:pPr>
      <w:r>
        <w:t xml:space="preserve">Соберём программу и запустим её (Рис. 2.21):</w:t>
      </w:r>
    </w:p>
    <w:p>
      <w:pPr>
        <w:pStyle w:val="CaptionedFigure"/>
      </w:pPr>
      <w:r>
        <w:drawing>
          <wp:inline>
            <wp:extent cx="5334000" cy="922288"/>
            <wp:effectExtent b="0" l="0" r="0" t="0"/>
            <wp:docPr descr="Повторная сборка уже изменённого файла lab6-3.asm и результат его работы" title="fig:" id="82" name="Picture"/>
            <a:graphic>
              <a:graphicData uri="http://schemas.openxmlformats.org/drawingml/2006/picture">
                <pic:pic>
                  <pic:nvPicPr>
                    <pic:cNvPr descr="image/20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222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Повторная сборка уже изменённого файла lab6-3.asm и результат его работы</w:t>
      </w:r>
    </w:p>
    <w:p>
      <w:pPr>
        <w:pStyle w:val="BodyText"/>
      </w:pPr>
      <w:r>
        <w:t xml:space="preserve">Пересчитав значение выражения вручную, убеждаемся, что вывод корректный. Теперь создадим файл variant.asm для вычисления варианта самостоятельной работы (Рис. 2.22):</w:t>
      </w:r>
    </w:p>
    <w:p>
      <w:pPr>
        <w:pStyle w:val="CaptionedFigure"/>
      </w:pPr>
      <w:r>
        <w:drawing>
          <wp:inline>
            <wp:extent cx="5334000" cy="411211"/>
            <wp:effectExtent b="0" l="0" r="0" t="0"/>
            <wp:docPr descr="Создание файла variant.asm для вычисления варианта для самостоятельной работы" title="fig:" id="85" name="Picture"/>
            <a:graphic>
              <a:graphicData uri="http://schemas.openxmlformats.org/drawingml/2006/picture">
                <pic:pic>
                  <pic:nvPicPr>
                    <pic:cNvPr descr="image/21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12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файла variant.asm для вычисления варианта для самостоятельной работы</w:t>
      </w:r>
    </w:p>
    <w:p>
      <w:pPr>
        <w:pStyle w:val="BodyText"/>
      </w:pPr>
      <w:r>
        <w:t xml:space="preserve">Вставим в файл код из листинга 6.4, который вычисляет номер варианта по формуле (s mod 20) + 1, где s - номер студенческого билета (Рис. 2.23):</w:t>
      </w:r>
    </w:p>
    <w:p>
      <w:pPr>
        <w:pStyle w:val="CaptionedFigure"/>
      </w:pPr>
      <w:r>
        <w:drawing>
          <wp:inline>
            <wp:extent cx="5334000" cy="3183951"/>
            <wp:effectExtent b="0" l="0" r="0" t="0"/>
            <wp:docPr descr="Вставка кода из листинга в файл variant.asm" title="fig:" id="88" name="Picture"/>
            <a:graphic>
              <a:graphicData uri="http://schemas.openxmlformats.org/drawingml/2006/picture">
                <pic:pic>
                  <pic:nvPicPr>
                    <pic:cNvPr descr="image/22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839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Вставка кода из листинга в файл variant.asm</w:t>
      </w:r>
    </w:p>
    <w:p>
      <w:pPr>
        <w:pStyle w:val="BodyText"/>
      </w:pPr>
      <w:r>
        <w:t xml:space="preserve">Соберём и запустим программу, указав номер студенческого билета. В моём случае это 1132231848 (Рис. 2.24):</w:t>
      </w:r>
    </w:p>
    <w:p>
      <w:pPr>
        <w:pStyle w:val="CaptionedFigure"/>
      </w:pPr>
      <w:r>
        <w:drawing>
          <wp:inline>
            <wp:extent cx="5334000" cy="1045651"/>
            <wp:effectExtent b="0" l="0" r="0" t="0"/>
            <wp:docPr descr="Сборка и запуск программы, а также результат выполнения" title="fig:" id="91" name="Picture"/>
            <a:graphic>
              <a:graphicData uri="http://schemas.openxmlformats.org/drawingml/2006/picture">
                <pic:pic>
                  <pic:nvPicPr>
                    <pic:cNvPr descr="image/23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456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Сборка и запуск программы, а также результат выполнения</w:t>
      </w:r>
    </w:p>
    <w:p>
      <w:pPr>
        <w:pStyle w:val="BodyText"/>
      </w:pPr>
      <w:r>
        <w:t xml:space="preserve">Программа вывела число 9. Действительно, ведь остаток от деления числа 1132231848 на 20 равен 8 (ведь число 1132231800 делится на 20 без остатка, тогда остаётся найти остаток от деления 48 на 20, что является 8). 8 + 1 = 9, соответственно.</w:t>
      </w:r>
    </w:p>
    <w:p>
      <w:pPr>
        <w:pStyle w:val="BodyText"/>
      </w:pPr>
      <w:r>
        <w:t xml:space="preserve">Разберём работу кода, ответив на предложенные в лабораторной работе вопросы:</w:t>
      </w:r>
    </w:p>
    <w:p>
      <w:pPr>
        <w:pStyle w:val="BodyText"/>
      </w:pPr>
      <w:r>
        <w:t xml:space="preserve">1. Какие строки листинга 6.4 отвечают за вывод на экран сообщения</w:t>
      </w:r>
      <w:r>
        <w:t xml:space="preserve"> </w:t>
      </w:r>
      <w:r>
        <w:t xml:space="preserve">‘</w:t>
      </w:r>
      <w:r>
        <w:t xml:space="preserve">Ваш вариант:</w:t>
      </w:r>
      <w:r>
        <w:t xml:space="preserve">’</w:t>
      </w:r>
      <w:r>
        <w:t xml:space="preserve">?</w:t>
      </w:r>
    </w:p>
    <w:p>
      <w:pPr>
        <w:pStyle w:val="BodyText"/>
      </w:pPr>
      <w:r>
        <w:t xml:space="preserve">За это отвечает 25-ая строчка call sprint, перед которой идёт строка mov eax,rem, которая перемещает строку с фразой в регистр eax, из которого мы считываем данные для вывода</w:t>
      </w:r>
    </w:p>
    <w:p>
      <w:pPr>
        <w:pStyle w:val="BodyText"/>
      </w:pPr>
      <w:r>
        <w:t xml:space="preserve">2. Для чего используется следующие инструкции?</w:t>
      </w:r>
    </w:p>
    <w:p>
      <w:pPr>
        <w:pStyle w:val="BodyText"/>
      </w:pPr>
      <w:r>
        <w:t xml:space="preserve">mov ecx, x</w:t>
      </w:r>
    </w:p>
    <w:p>
      <w:pPr>
        <w:pStyle w:val="BodyText"/>
      </w:pPr>
      <w:r>
        <w:t xml:space="preserve">mov edx, 80</w:t>
      </w:r>
    </w:p>
    <w:p>
      <w:pPr>
        <w:pStyle w:val="BodyText"/>
      </w:pPr>
      <w:r>
        <w:t xml:space="preserve">call sread</w:t>
      </w:r>
    </w:p>
    <w:p>
      <w:pPr>
        <w:pStyle w:val="BodyText"/>
      </w:pPr>
      <w:r>
        <w:t xml:space="preserve">Эти строки используются для того, чтобы записать данные в переменную x</w:t>
      </w:r>
    </w:p>
    <w:p>
      <w:pPr>
        <w:pStyle w:val="BodyText"/>
      </w:pPr>
      <w:r>
        <w:t xml:space="preserve">3. Для чего используется инструкция</w:t>
      </w:r>
      <w:r>
        <w:t xml:space="preserve"> </w:t>
      </w:r>
      <w:r>
        <w:t xml:space="preserve">“</w:t>
      </w:r>
      <w:r>
        <w:t xml:space="preserve">call atoi</w:t>
      </w:r>
      <w:r>
        <w:t xml:space="preserve">”</w:t>
      </w:r>
      <w:r>
        <w:t xml:space="preserve">?</w:t>
      </w:r>
    </w:p>
    <w:p>
      <w:pPr>
        <w:pStyle w:val="BodyText"/>
      </w:pPr>
      <w:r>
        <w:t xml:space="preserve">Для преобразования ASCII кода в число</w:t>
      </w:r>
    </w:p>
    <w:p>
      <w:pPr>
        <w:pStyle w:val="BodyText"/>
      </w:pPr>
      <w:r>
        <w:t xml:space="preserve">4. Какие строки листинга 6.4 отвечают за вычисления варианта?</w:t>
      </w:r>
    </w:p>
    <w:p>
      <w:pPr>
        <w:pStyle w:val="BodyText"/>
      </w:pPr>
      <w:r>
        <w:t xml:space="preserve">Напрямую за вычисление отвечают следующие строки:</w:t>
      </w:r>
    </w:p>
    <w:p>
      <w:pPr>
        <w:pStyle w:val="BodyText"/>
      </w:pPr>
      <w:r>
        <w:t xml:space="preserve">div ebx</w:t>
      </w:r>
    </w:p>
    <w:p>
      <w:pPr>
        <w:pStyle w:val="BodyText"/>
      </w:pPr>
      <w:r>
        <w:t xml:space="preserve">inc edx</w:t>
      </w:r>
    </w:p>
    <w:p>
      <w:pPr>
        <w:pStyle w:val="BodyText"/>
      </w:pPr>
      <w:r>
        <w:t xml:space="preserve">Первая делит число х в регистре eax на значение регистра ebx (в нашем случае 20), а вторая прибавляет к значению регистра edx (куда сохранился остаток от деления в прошлой операции) единицу</w:t>
      </w:r>
    </w:p>
    <w:p>
      <w:pPr>
        <w:pStyle w:val="BodyText"/>
      </w:pPr>
      <w:r>
        <w:t xml:space="preserve">5. В какой регистр записывается остаток от деления при выполнении инструкции</w:t>
      </w:r>
      <w:r>
        <w:t xml:space="preserve"> </w:t>
      </w:r>
      <w:r>
        <w:t xml:space="preserve">“</w:t>
      </w:r>
      <w:r>
        <w:t xml:space="preserve">div ebx</w:t>
      </w:r>
      <w:r>
        <w:t xml:space="preserve">”</w:t>
      </w:r>
      <w:r>
        <w:t xml:space="preserve">?</w:t>
      </w:r>
    </w:p>
    <w:p>
      <w:pPr>
        <w:pStyle w:val="BodyText"/>
      </w:pPr>
      <w:r>
        <w:t xml:space="preserve">Как уже было сказано в ответе на предыдущий вопрос, в регистр edx</w:t>
      </w:r>
    </w:p>
    <w:p>
      <w:pPr>
        <w:pStyle w:val="BodyText"/>
      </w:pPr>
      <w:r>
        <w:t xml:space="preserve">6. Для чего используется инструкция</w:t>
      </w:r>
      <w:r>
        <w:t xml:space="preserve"> </w:t>
      </w:r>
      <w:r>
        <w:t xml:space="preserve">“</w:t>
      </w:r>
      <w:r>
        <w:t xml:space="preserve">inc edx</w:t>
      </w:r>
      <w:r>
        <w:t xml:space="preserve">”</w:t>
      </w:r>
      <w:r>
        <w:t xml:space="preserve">?</w:t>
      </w:r>
    </w:p>
    <w:p>
      <w:pPr>
        <w:pStyle w:val="BodyText"/>
      </w:pPr>
      <w:r>
        <w:t xml:space="preserve">Для увеличения значения регистра edx на единицу</w:t>
      </w:r>
    </w:p>
    <w:p>
      <w:pPr>
        <w:pStyle w:val="BodyText"/>
      </w:pPr>
      <w:r>
        <w:t xml:space="preserve">7. Какие строки листинга 6.4 отвечают за вывод на экран результата вычислений?</w:t>
      </w:r>
    </w:p>
    <w:p>
      <w:pPr>
        <w:pStyle w:val="BodyText"/>
      </w:pPr>
      <w:r>
        <w:t xml:space="preserve">За это отвечают строки:</w:t>
      </w:r>
    </w:p>
    <w:p>
      <w:pPr>
        <w:pStyle w:val="BodyText"/>
      </w:pPr>
      <w:r>
        <w:t xml:space="preserve">mov eax,edx</w:t>
      </w:r>
    </w:p>
    <w:p>
      <w:pPr>
        <w:pStyle w:val="BodyText"/>
      </w:pPr>
      <w:r>
        <w:t xml:space="preserve">call iprintLF</w:t>
      </w:r>
    </w:p>
    <w:p>
      <w:pPr>
        <w:pStyle w:val="BodyText"/>
      </w:pPr>
      <w:r>
        <w:t xml:space="preserve">первая строка переносит значение регистра edx в eax, а вторая вызывает операцию вывода значения регистра eax на экран</w:t>
      </w:r>
    </w:p>
    <w:bookmarkEnd w:id="93"/>
    <w:bookmarkStart w:id="103" w:name="X33a5db1c0406ef43d93c9262044c6a22182ec0b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задания для самостоятельной работы</w:t>
      </w:r>
    </w:p>
    <w:p>
      <w:pPr>
        <w:pStyle w:val="FirstParagraph"/>
      </w:pPr>
      <w:r>
        <w:t xml:space="preserve">Теперь в качестве самостоятельной работы напишем код программы для вычисления выражения в варианте 9: 10 + (31x − 5). В предварительно созданном файле task9.asm впишем следующий код (Рис. 3.1):</w:t>
      </w:r>
    </w:p>
    <w:p>
      <w:pPr>
        <w:pStyle w:val="CaptionedFigure"/>
      </w:pPr>
      <w:r>
        <w:drawing>
          <wp:inline>
            <wp:extent cx="5334000" cy="4253023"/>
            <wp:effectExtent b="0" l="0" r="0" t="0"/>
            <wp:docPr descr="Код требуемой программы" title="fig:" id="95" name="Picture"/>
            <a:graphic>
              <a:graphicData uri="http://schemas.openxmlformats.org/drawingml/2006/picture">
                <pic:pic>
                  <pic:nvPicPr>
                    <pic:cNvPr descr="image/24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530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Код требуемой программы</w:t>
      </w:r>
    </w:p>
    <w:p>
      <w:pPr>
        <w:pStyle w:val="BodyText"/>
      </w:pPr>
      <w:r>
        <w:t xml:space="preserve">Он немного отличается от предыдущих программ. За вычисление выражения отвечают следующие команды:</w:t>
      </w:r>
    </w:p>
    <w:p>
      <w:pPr>
        <w:pStyle w:val="BodyText"/>
      </w:pPr>
      <w:r>
        <w:t xml:space="preserve">mul ebx</w:t>
      </w:r>
    </w:p>
    <w:p>
      <w:pPr>
        <w:pStyle w:val="BodyText"/>
      </w:pPr>
      <w:r>
        <w:t xml:space="preserve">sub eax, 5</w:t>
      </w:r>
    </w:p>
    <w:p>
      <w:pPr>
        <w:pStyle w:val="BodyText"/>
      </w:pPr>
      <w:r>
        <w:t xml:space="preserve">add eax, 10</w:t>
      </w:r>
    </w:p>
    <w:p>
      <w:pPr>
        <w:pStyle w:val="BodyText"/>
      </w:pPr>
      <w:r>
        <w:t xml:space="preserve">Где первая отвечает за умножение значения регистра eax (где хранится х) на значение регистра ebx (куда предварительно положили значение 31).</w:t>
      </w:r>
    </w:p>
    <w:p>
      <w:pPr>
        <w:pStyle w:val="BodyText"/>
      </w:pPr>
      <w:r>
        <w:t xml:space="preserve">Вторая строка отвечает за вычитание из регистра eax пятёрки.</w:t>
      </w:r>
    </w:p>
    <w:p>
      <w:pPr>
        <w:pStyle w:val="BodyText"/>
      </w:pPr>
      <w:r>
        <w:t xml:space="preserve">Третья строка отвечает за прибавление к регистру eax десятки.</w:t>
      </w:r>
    </w:p>
    <w:p>
      <w:pPr>
        <w:pStyle w:val="BodyText"/>
      </w:pPr>
      <w:r>
        <w:t xml:space="preserve">Попробуем собрать нашу программу (Рис. 3.2):</w:t>
      </w:r>
    </w:p>
    <w:p>
      <w:pPr>
        <w:pStyle w:val="CaptionedFigure"/>
      </w:pPr>
      <w:r>
        <w:drawing>
          <wp:inline>
            <wp:extent cx="5334000" cy="300258"/>
            <wp:effectExtent b="0" l="0" r="0" t="0"/>
            <wp:docPr descr="Сборка исполняемого файла" title="fig:" id="98" name="Picture"/>
            <a:graphic>
              <a:graphicData uri="http://schemas.openxmlformats.org/drawingml/2006/picture">
                <pic:pic>
                  <pic:nvPicPr>
                    <pic:cNvPr descr="image/25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2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Сборка исполняемого файла</w:t>
      </w:r>
    </w:p>
    <w:p>
      <w:pPr>
        <w:pStyle w:val="BodyText"/>
      </w:pPr>
      <w:r>
        <w:t xml:space="preserve">И запустим код, указав в качестве x предложенные в лабораторной работе значения (Рис. 3.3):</w:t>
      </w:r>
    </w:p>
    <w:p>
      <w:pPr>
        <w:pStyle w:val="CaptionedFigure"/>
      </w:pPr>
      <w:r>
        <w:drawing>
          <wp:inline>
            <wp:extent cx="5334000" cy="1666139"/>
            <wp:effectExtent b="0" l="0" r="0" t="0"/>
            <wp:docPr descr="Запуск программы и проверка её корректной работы" title="fig:" id="101" name="Picture"/>
            <a:graphic>
              <a:graphicData uri="http://schemas.openxmlformats.org/drawingml/2006/picture">
                <pic:pic>
                  <pic:nvPicPr>
                    <pic:cNvPr descr="image/26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661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программы и проверка её корректной работы</w:t>
      </w:r>
    </w:p>
    <w:p>
      <w:pPr>
        <w:pStyle w:val="BodyText"/>
      </w:pPr>
      <w:r>
        <w:t xml:space="preserve">Как видим, программа выводит правильные значения выражения.</w:t>
      </w:r>
    </w:p>
    <w:bookmarkEnd w:id="103"/>
    <w:bookmarkStart w:id="104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выполнения лабораторной работы было получено представление о том, какие арифметические операции есть в языке Ассемблера, и как они работают. Были написаны программы, использующие в себе операции сложения, вычитания, умножения и деления.</w:t>
      </w:r>
    </w:p>
    <w:bookmarkEnd w:id="10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3" Target="media/rId63.png" /><Relationship Type="http://schemas.openxmlformats.org/officeDocument/2006/relationships/image" Id="rId60" Target="media/rId60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78" Target="media/rId78.png" /><Relationship Type="http://schemas.openxmlformats.org/officeDocument/2006/relationships/image" Id="rId24" Target="media/rId24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94" Target="media/rId94.png" /><Relationship Type="http://schemas.openxmlformats.org/officeDocument/2006/relationships/image" Id="rId97" Target="media/rId97.png" /><Relationship Type="http://schemas.openxmlformats.org/officeDocument/2006/relationships/image" Id="rId100" Target="media/rId100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№6</dc:title>
  <dc:creator>Андрюшин Никита Сергеевич</dc:creator>
  <dc:language>ru-RU</dc:language>
  <cp:keywords/>
  <dcterms:created xsi:type="dcterms:W3CDTF">2023-11-18T20:48:32Z</dcterms:created>
  <dcterms:modified xsi:type="dcterms:W3CDTF">2023-11-18T20:48:32Z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Арифметические операции в NASM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