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 bzip2 или tar. Способ использования команд архивации необходимо узнать, изучив справку.</w:t>
      </w:r>
    </w:p>
    <w:p>
      <w:pPr>
        <w:numPr>
          <w:ilvl w:val="0"/>
          <w:numId w:val="1001"/>
        </w:numPr>
        <w:pStyle w:val="Compact"/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 — аналог команды ls (без использования самой этой команды и команды dir). Требуется, чтобы он выдавал информацию о нужном каталоге и выводил информацию о возможностях доступа к файлам этого каталога.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Напишем код первой программы (рис. 1).</w:t>
      </w:r>
    </w:p>
    <w:p>
      <w:pPr>
        <w:pStyle w:val="CaptionedFigure"/>
      </w:pPr>
      <w:r>
        <w:drawing>
          <wp:inline>
            <wp:extent cx="5334000" cy="863126"/>
            <wp:effectExtent b="0" l="0" r="0" t="0"/>
            <wp:docPr descr="Код первой программ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3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Код первой программы</w:t>
      </w:r>
    </w:p>
    <w:p>
      <w:pPr>
        <w:pStyle w:val="BodyText"/>
      </w:pPr>
      <w:r>
        <w:t xml:space="preserve">И проверим работу (рис. 2).</w:t>
      </w:r>
    </w:p>
    <w:p>
      <w:pPr>
        <w:pStyle w:val="CaptionedFigure"/>
      </w:pPr>
      <w:r>
        <w:drawing>
          <wp:inline>
            <wp:extent cx="5334000" cy="2030484"/>
            <wp:effectExtent b="0" l="0" r="0" t="0"/>
            <wp:docPr descr="Проверка работы первой программ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работы первой программы</w:t>
      </w:r>
    </w:p>
    <w:p>
      <w:pPr>
        <w:pStyle w:val="BodyText"/>
      </w:pPr>
      <w:r>
        <w:t xml:space="preserve">Напишем код второй программы (рис. 3).</w:t>
      </w:r>
    </w:p>
    <w:p>
      <w:pPr>
        <w:pStyle w:val="CaptionedFigure"/>
      </w:pPr>
      <w:r>
        <w:drawing>
          <wp:inline>
            <wp:extent cx="5334000" cy="1400722"/>
            <wp:effectExtent b="0" l="0" r="0" t="0"/>
            <wp:docPr descr="Код второй программы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0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Код второй программы</w:t>
      </w:r>
    </w:p>
    <w:p>
      <w:pPr>
        <w:pStyle w:val="BodyText"/>
      </w:pPr>
      <w:r>
        <w:t xml:space="preserve">И проверим работу (рис. 4).</w:t>
      </w:r>
    </w:p>
    <w:p>
      <w:pPr>
        <w:pStyle w:val="CaptionedFigure"/>
      </w:pPr>
      <w:r>
        <w:drawing>
          <wp:inline>
            <wp:extent cx="5334000" cy="1994726"/>
            <wp:effectExtent b="0" l="0" r="0" t="0"/>
            <wp:docPr descr="Проверка работы второй программ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4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работы второй программы</w:t>
      </w:r>
    </w:p>
    <w:p>
      <w:pPr>
        <w:pStyle w:val="BodyText"/>
      </w:pPr>
      <w:r>
        <w:t xml:space="preserve">Напишем код третьей программы (рис. 5).</w:t>
      </w:r>
    </w:p>
    <w:p>
      <w:pPr>
        <w:pStyle w:val="CaptionedFigure"/>
      </w:pPr>
      <w:r>
        <w:drawing>
          <wp:inline>
            <wp:extent cx="5334000" cy="2203718"/>
            <wp:effectExtent b="0" l="0" r="0" t="0"/>
            <wp:docPr descr="Код третьей программы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Код третьей программы</w:t>
      </w:r>
    </w:p>
    <w:p>
      <w:pPr>
        <w:pStyle w:val="BodyText"/>
      </w:pPr>
      <w:r>
        <w:t xml:space="preserve">И проверим работу (рис. 6).</w:t>
      </w:r>
    </w:p>
    <w:p>
      <w:pPr>
        <w:pStyle w:val="CaptionedFigure"/>
      </w:pPr>
      <w:r>
        <w:drawing>
          <wp:inline>
            <wp:extent cx="5334000" cy="4036710"/>
            <wp:effectExtent b="0" l="0" r="0" t="0"/>
            <wp:docPr descr="Проверка работы третьей программы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работы третьей программы</w:t>
      </w:r>
    </w:p>
    <w:p>
      <w:pPr>
        <w:pStyle w:val="BodyText"/>
      </w:pPr>
      <w:r>
        <w:t xml:space="preserve">Напишем код четвёртой программы (рис. 7).</w:t>
      </w:r>
    </w:p>
    <w:p>
      <w:pPr>
        <w:pStyle w:val="CaptionedFigure"/>
      </w:pPr>
      <w:r>
        <w:drawing>
          <wp:inline>
            <wp:extent cx="5334000" cy="1746586"/>
            <wp:effectExtent b="0" l="0" r="0" t="0"/>
            <wp:docPr descr="Код четвёртой программы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6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Код четвёртой программы</w:t>
      </w:r>
    </w:p>
    <w:p>
      <w:pPr>
        <w:pStyle w:val="BodyText"/>
      </w:pPr>
      <w:r>
        <w:t xml:space="preserve">И проверим работу (рис. 8).</w:t>
      </w:r>
    </w:p>
    <w:p>
      <w:pPr>
        <w:pStyle w:val="CaptionedFigure"/>
      </w:pPr>
      <w:r>
        <w:drawing>
          <wp:inline>
            <wp:extent cx="4834170" cy="466791"/>
            <wp:effectExtent b="0" l="0" r="0" t="0"/>
            <wp:docPr descr="Проверка работы четвёртой программы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70" cy="466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работы четвёртой программы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навыки написания скриптовых файлов</w:t>
      </w:r>
    </w:p>
    <w:bookmarkEnd w:id="47"/>
    <w:bookmarkStart w:id="51" w:name="список-литературы"/>
    <w:p>
      <w:pPr>
        <w:pStyle w:val="Heading1"/>
      </w:pPr>
      <w:r>
        <w:t xml:space="preserve">Список литературы</w:t>
      </w:r>
    </w:p>
    <w:bookmarkStart w:id="50" w:name="refs"/>
    <w:bookmarkStart w:id="49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48">
        <w:r>
          <w:rPr>
            <w:rStyle w:val="Hyperlink"/>
          </w:rPr>
          <w:t xml:space="preserve">Лабораторная работа № 12. Программирование в командном процессоре ОС UNIX. Командные файлы</w:t>
        </w:r>
      </w:hyperlink>
      <w:r>
        <w:t xml:space="preserve">. RUDN.</w:t>
      </w:r>
    </w:p>
    <w:bookmarkEnd w:id="49"/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hyperlink" Id="rId48" Target="https://esystem.rudn.ru/pluginfile.php/2288283/mod_resource/content/4/010-lab_shell_prog_1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s://esystem.rudn.ru/pluginfile.php/2288283/mod_resource/content/4/010-lab_shell_prog_1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№12</dc:title>
  <dc:creator>Андрюшин Никита Сергеевич</dc:creator>
  <dc:language>ru-RU</dc:language>
  <cp:keywords/>
  <dcterms:created xsi:type="dcterms:W3CDTF">2024-04-27T17:34:31Z</dcterms:created>
  <dcterms:modified xsi:type="dcterms:W3CDTF">2024-04-27T17:34:31Z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