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Проект</w:t>
      </w:r>
      <w:r>
        <w:t xml:space="preserve"> </w:t>
      </w:r>
      <w:r>
        <w:t xml:space="preserve">стадия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DVWA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Вводим предложенную на странице гитхаба команду для автоматической установки. Начнётся установка, и сначала установится php-gd (рис. 1).</w:t>
      </w:r>
    </w:p>
    <w:p>
      <w:pPr>
        <w:pStyle w:val="CaptionedFigure"/>
      </w:pPr>
      <w:r>
        <w:drawing>
          <wp:inline>
            <wp:extent cx="5334000" cy="4426449"/>
            <wp:effectExtent b="0" l="0" r="0" t="0"/>
            <wp:docPr descr="Ввод команд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Ввод команды</w:t>
      </w:r>
    </w:p>
    <w:p>
      <w:pPr>
        <w:pStyle w:val="BodyText"/>
      </w:pPr>
      <w:r>
        <w:t xml:space="preserve">Далее идёт настройка базы данных. Вводим данные от root (рис. 2).</w:t>
      </w:r>
    </w:p>
    <w:p>
      <w:pPr>
        <w:pStyle w:val="CaptionedFigure"/>
      </w:pPr>
      <w:r>
        <w:drawing>
          <wp:inline>
            <wp:extent cx="5334000" cy="3037710"/>
            <wp:effectExtent b="0" l="0" r="0" t="0"/>
            <wp:docPr descr="Настройка mariaDB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mariaDB</w:t>
      </w:r>
    </w:p>
    <w:p>
      <w:pPr>
        <w:pStyle w:val="BodyText"/>
      </w:pPr>
      <w:r>
        <w:t xml:space="preserve">После этого переходим на предложенный адрес localhost/dvwa и нажимаем на reset database (рис. 3).</w:t>
      </w:r>
    </w:p>
    <w:p>
      <w:pPr>
        <w:pStyle w:val="CaptionedFigure"/>
      </w:pPr>
      <w:r>
        <w:drawing>
          <wp:inline>
            <wp:extent cx="5334000" cy="4880138"/>
            <wp:effectExtent b="0" l="0" r="0" t="0"/>
            <wp:docPr descr="Переход на сайт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Переход на сайт</w:t>
      </w:r>
    </w:p>
    <w:p>
      <w:pPr>
        <w:pStyle w:val="BodyText"/>
      </w:pPr>
      <w:r>
        <w:t xml:space="preserve">После этого авторизируемся по тем данным, что были выведены на скриншоте 2 (рис. 4).</w:t>
      </w:r>
    </w:p>
    <w:p>
      <w:pPr>
        <w:pStyle w:val="CaptionedFigure"/>
      </w:pPr>
      <w:r>
        <w:drawing>
          <wp:inline>
            <wp:extent cx="4162758" cy="2679255"/>
            <wp:effectExtent b="0" l="0" r="0" t="0"/>
            <wp:docPr descr="Авторизац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758" cy="2679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Авторизация</w:t>
      </w:r>
    </w:p>
    <w:p>
      <w:pPr>
        <w:pStyle w:val="BodyText"/>
      </w:pPr>
      <w:r>
        <w:t xml:space="preserve">И мы заходим на настроенный сайт (рис. 5).</w:t>
      </w:r>
    </w:p>
    <w:p>
      <w:pPr>
        <w:pStyle w:val="CaptionedFigure"/>
      </w:pPr>
      <w:r>
        <w:drawing>
          <wp:inline>
            <wp:extent cx="5334000" cy="6373476"/>
            <wp:effectExtent b="0" l="0" r="0" t="0"/>
            <wp:docPr descr="Настроенный сай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Настроенный сайт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настроен dvwa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2025-03-22T16:20:15Z</dcterms:created>
  <dcterms:modified xsi:type="dcterms:W3CDTF">2025-03-22T16:20:15Z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Проект стадия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