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Проект</w:t>
      </w:r>
      <w:r>
        <w:t xml:space="preserve"> </w:t>
      </w:r>
      <w:r>
        <w:t xml:space="preserve">стадия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Разобраться в работе Hydra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распакуем архив с базой данных паролей (рис. 1).</w:t>
      </w:r>
    </w:p>
    <w:p>
      <w:pPr>
        <w:pStyle w:val="CaptionedFigure"/>
      </w:pPr>
      <w:r>
        <w:drawing>
          <wp:inline>
            <wp:extent cx="5334000" cy="607517"/>
            <wp:effectExtent b="0" l="0" r="0" t="0"/>
            <wp:docPr descr="Разархивация паролей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Разархивация паролей</w:t>
      </w:r>
    </w:p>
    <w:p>
      <w:pPr>
        <w:pStyle w:val="BodyText"/>
      </w:pPr>
      <w:r>
        <w:t xml:space="preserve">Далее попробуем сломать одно из окон авторизации DVWA. Запомним фразу, которая высвечивается при неправильном пароле, а также данные куки снизу (рис. 2).</w:t>
      </w:r>
    </w:p>
    <w:p>
      <w:pPr>
        <w:pStyle w:val="CaptionedFigure"/>
      </w:pPr>
      <w:r>
        <w:drawing>
          <wp:inline>
            <wp:extent cx="5334000" cy="4634802"/>
            <wp:effectExtent b="0" l="0" r="0" t="0"/>
            <wp:docPr descr="Данные с сайта DVWA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4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Данные с сайта DVWA</w:t>
      </w:r>
    </w:p>
    <w:p>
      <w:pPr>
        <w:pStyle w:val="BodyText"/>
      </w:pPr>
      <w:r>
        <w:t xml:space="preserve">Теперь воспользуемся гидрой. Укажем ей файл с паролями и адрес ломаемого сайта. Укажем также данные куки и фразу, выводящуюся при неверной авторизации, что будет подсказкой для гидры, что пароль неверный. В результате, получаем пароль (рис. 3).</w:t>
      </w:r>
    </w:p>
    <w:p>
      <w:pPr>
        <w:pStyle w:val="CaptionedFigure"/>
      </w:pPr>
      <w:r>
        <w:drawing>
          <wp:inline>
            <wp:extent cx="5334000" cy="2713401"/>
            <wp:effectExtent b="0" l="0" r="0" t="0"/>
            <wp:docPr descr="Использование Hydra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Использование Hydra</w:t>
      </w:r>
    </w:p>
    <w:p>
      <w:pPr>
        <w:pStyle w:val="BodyText"/>
      </w:pPr>
      <w:r>
        <w:t xml:space="preserve">Вводим пароль на сайт (рис. 4).</w:t>
      </w:r>
    </w:p>
    <w:p>
      <w:pPr>
        <w:pStyle w:val="CaptionedFigure"/>
      </w:pPr>
      <w:r>
        <w:drawing>
          <wp:inline>
            <wp:extent cx="4290646" cy="2423479"/>
            <wp:effectExtent b="0" l="0" r="0" t="0"/>
            <wp:docPr descr="Успешная авторизация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46" cy="242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Успешная авторизация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hydra</w:t>
      </w:r>
    </w:p>
    <w:bookmarkEnd w:id="34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2025-04-12T18:24:54Z</dcterms:created>
  <dcterms:modified xsi:type="dcterms:W3CDTF">2025-04-12T18:24:54Z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Проект стадия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