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</w:t>
      </w:r>
    </w:p>
    <w:bookmarkEnd w:id="20"/>
    <w:bookmarkStart w:id="9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зайдём на виртуальную машину server и установим пакеты dovecot и telnet (рис. 1).</w:t>
      </w:r>
    </w:p>
    <w:p>
      <w:pPr>
        <w:pStyle w:val="CaptionedFigure"/>
      </w:pPr>
      <w:r>
        <w:drawing>
          <wp:inline>
            <wp:extent cx="5334000" cy="4294854"/>
            <wp:effectExtent b="0" l="0" r="0" t="0"/>
            <wp:docPr descr="Установка dovecot и telne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dovecot и telnet</w:t>
      </w:r>
    </w:p>
    <w:p>
      <w:pPr>
        <w:pStyle w:val="BodyText"/>
      </w:pPr>
      <w:r>
        <w:t xml:space="preserve">Откроем конфигурационый файл /etc/dovecot/dovecot.conf и задидим параметру protocols значение двух почтовых протоколов, которые рассматриваются в данной лабораторной работе - imap и pop3 (рис. 2).</w:t>
      </w:r>
    </w:p>
    <w:p>
      <w:pPr>
        <w:pStyle w:val="CaptionedFigure"/>
      </w:pPr>
      <w:r>
        <w:drawing>
          <wp:inline>
            <wp:extent cx="5334000" cy="3597042"/>
            <wp:effectExtent b="0" l="0" r="0" t="0"/>
            <wp:docPr descr="Задавание протоколов для dovecot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Задавание протоколов для dovecot</w:t>
      </w:r>
    </w:p>
    <w:p>
      <w:pPr>
        <w:pStyle w:val="BodyText"/>
      </w:pPr>
      <w:r>
        <w:t xml:space="preserve">Перейдём в файл /etc/dovecot/conf.d/10-auth.conf и убедимся в том, что параметр auth_mechanisms имеет значение plain (рис. 3).</w:t>
      </w:r>
    </w:p>
    <w:p>
      <w:pPr>
        <w:pStyle w:val="CaptionedFigure"/>
      </w:pPr>
      <w:r>
        <w:drawing>
          <wp:inline>
            <wp:extent cx="5334000" cy="2333089"/>
            <wp:effectExtent b="0" l="0" r="0" t="0"/>
            <wp:docPr descr="/etc/conf.d/10-auth.co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/etc/conf.d/10-auth.conf</w:t>
      </w:r>
    </w:p>
    <w:p>
      <w:pPr>
        <w:pStyle w:val="BodyText"/>
      </w:pPr>
      <w:r>
        <w:t xml:space="preserve">Откроем файл /etc/dovecot/conf.d/auth-system.conf.ext и убедимся, что параметр driver для passwd равен pam (рис. 4).</w:t>
      </w:r>
    </w:p>
    <w:p>
      <w:pPr>
        <w:pStyle w:val="CaptionedFigure"/>
      </w:pPr>
      <w:r>
        <w:drawing>
          <wp:inline>
            <wp:extent cx="5334000" cy="2443991"/>
            <wp:effectExtent b="0" l="0" r="0" t="0"/>
            <wp:docPr descr="/etc/conf.d/auth-system.conf.ext, driver для passwd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/etc/conf.d/auth-system.conf.ext, driver для passwd</w:t>
      </w:r>
    </w:p>
    <w:p>
      <w:pPr>
        <w:pStyle w:val="BodyText"/>
      </w:pPr>
      <w:r>
        <w:t xml:space="preserve">В том же файле убедимся, что параметр driver для userdb равен passwd (рис. 5).</w:t>
      </w:r>
    </w:p>
    <w:p>
      <w:pPr>
        <w:pStyle w:val="CaptionedFigure"/>
      </w:pPr>
      <w:r>
        <w:drawing>
          <wp:inline>
            <wp:extent cx="5334000" cy="2695349"/>
            <wp:effectExtent b="0" l="0" r="0" t="0"/>
            <wp:docPr descr="/etc/conf.d/auth-system.conf.ext, driver для userdb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/etc/conf.d/auth-system.conf.ext, driver для userdb</w:t>
      </w:r>
    </w:p>
    <w:p>
      <w:pPr>
        <w:pStyle w:val="BodyText"/>
      </w:pPr>
      <w:r>
        <w:t xml:space="preserve">Откроем файл /etc/dovecot/conf.d/10-mail.conf и укажем параметр для mail_location (рис. 6).</w:t>
      </w:r>
    </w:p>
    <w:p>
      <w:pPr>
        <w:pStyle w:val="CaptionedFigure"/>
      </w:pPr>
      <w:r>
        <w:drawing>
          <wp:inline>
            <wp:extent cx="5334000" cy="4442804"/>
            <wp:effectExtent b="0" l="0" r="0" t="0"/>
            <wp:docPr descr="/etc/dovecot/conf.d/10-mail.conf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/etc/dovecot/conf.d/10-mail.conf</w:t>
      </w:r>
    </w:p>
    <w:p>
      <w:pPr>
        <w:pStyle w:val="BodyText"/>
      </w:pPr>
      <w:r>
        <w:t xml:space="preserve">Теперь сконфигурируем postfix. Назначим параметр home_mailbox равный Maildir (рис. 7).</w:t>
      </w:r>
    </w:p>
    <w:p>
      <w:pPr>
        <w:pStyle w:val="CaptionedFigure"/>
      </w:pPr>
      <w:r>
        <w:drawing>
          <wp:inline>
            <wp:extent cx="5334000" cy="219547"/>
            <wp:effectExtent b="0" l="0" r="0" t="0"/>
            <wp:docPr descr="postconf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postconf</w:t>
      </w:r>
    </w:p>
    <w:p>
      <w:pPr>
        <w:pStyle w:val="BodyText"/>
      </w:pPr>
      <w:r>
        <w:t xml:space="preserve">Настроим firewall. Разрешим работу с протоколами pop3 и imap (рис. 8).</w:t>
      </w:r>
    </w:p>
    <w:p>
      <w:pPr>
        <w:pStyle w:val="CaptionedFigure"/>
      </w:pPr>
      <w:r>
        <w:drawing>
          <wp:inline>
            <wp:extent cx="5334000" cy="4227101"/>
            <wp:effectExtent b="0" l="0" r="0" t="0"/>
            <wp:docPr descr="Настройка firewall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7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firewall</w:t>
      </w:r>
    </w:p>
    <w:p>
      <w:pPr>
        <w:pStyle w:val="BodyText"/>
      </w:pPr>
      <w:r>
        <w:t xml:space="preserve">Далее восстановим метки SElinux и перезапусим postfix, после чего включим dovecot (рис. 9).</w:t>
      </w:r>
    </w:p>
    <w:p>
      <w:pPr>
        <w:pStyle w:val="CaptionedFigure"/>
      </w:pPr>
      <w:r>
        <w:drawing>
          <wp:inline>
            <wp:extent cx="5334000" cy="1060952"/>
            <wp:effectExtent b="0" l="0" r="0" t="0"/>
            <wp:docPr descr="Запуск служб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0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служб</w:t>
      </w:r>
    </w:p>
    <w:p>
      <w:pPr>
        <w:pStyle w:val="BodyText"/>
      </w:pPr>
      <w:r>
        <w:t xml:space="preserve">На дополнительном терминале начнём отслеживать в реальном времени вывод логов из файла /var/log/maillog, связанный с почтовой службой (рис. 10).</w:t>
      </w:r>
    </w:p>
    <w:p>
      <w:pPr>
        <w:pStyle w:val="CaptionedFigure"/>
      </w:pPr>
      <w:r>
        <w:drawing>
          <wp:inline>
            <wp:extent cx="5334000" cy="2117727"/>
            <wp:effectExtent b="0" l="0" r="0" t="0"/>
            <wp:docPr descr="Лог /var/log/maillog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Лог /var/log/maillog</w:t>
      </w:r>
    </w:p>
    <w:p>
      <w:pPr>
        <w:pStyle w:val="BodyText"/>
      </w:pPr>
      <w:r>
        <w:t xml:space="preserve">С помощью команд mail и doveadm посмотрим данные о почте и почтовом ящике. Как видим, у пользователя есть почтовый ящик INBOX (судя по doveadm). Вывод команды mail показывает, что папки с почтой нет для нашего пользователя. Это связано с тем, что к нему не приходило ни одного письма, чтобы эта папка создалась (рис. 11).</w:t>
      </w:r>
    </w:p>
    <w:p>
      <w:pPr>
        <w:pStyle w:val="CaptionedFigure"/>
      </w:pPr>
      <w:r>
        <w:drawing>
          <wp:inline>
            <wp:extent cx="5334000" cy="848690"/>
            <wp:effectExtent b="0" l="0" r="0" t="0"/>
            <wp:docPr descr="mail и doveadm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mail и doveadm</w:t>
      </w:r>
    </w:p>
    <w:p>
      <w:pPr>
        <w:pStyle w:val="BodyText"/>
      </w:pPr>
      <w:r>
        <w:t xml:space="preserve">Теперь запустим машину client. Установим на неё почтовый клиент evolution (рис. 12).</w:t>
      </w:r>
    </w:p>
    <w:p>
      <w:pPr>
        <w:pStyle w:val="CaptionedFigure"/>
      </w:pPr>
      <w:r>
        <w:drawing>
          <wp:inline>
            <wp:extent cx="5334000" cy="5367520"/>
            <wp:effectExtent b="0" l="0" r="0" t="0"/>
            <wp:docPr descr="Установка evolution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evolution</w:t>
      </w:r>
    </w:p>
    <w:p>
      <w:pPr>
        <w:pStyle w:val="BodyText"/>
      </w:pPr>
      <w:r>
        <w:t xml:space="preserve">После открытия данной программы мы увидем окно с предложением настроить клиент. Во вкладке identity введём свои данные (рис. 13).</w:t>
      </w:r>
    </w:p>
    <w:p>
      <w:pPr>
        <w:pStyle w:val="CaptionedFigure"/>
      </w:pPr>
      <w:r>
        <w:drawing>
          <wp:inline>
            <wp:extent cx="5334000" cy="3702843"/>
            <wp:effectExtent b="0" l="0" r="0" t="0"/>
            <wp:docPr descr="Заполнение вкладки identity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Заполнение вкладки identity</w:t>
      </w:r>
    </w:p>
    <w:p>
      <w:pPr>
        <w:pStyle w:val="BodyText"/>
      </w:pPr>
      <w:r>
        <w:t xml:space="preserve">Во вкладке recieving email мы должны настроить входящую почту. За неё будет отвечать протокол imap на порту 143. Аутентификация будет простая по поролю, а метод шифрования выбран как STARTTLS after connecting (рис. 14).</w:t>
      </w:r>
    </w:p>
    <w:p>
      <w:pPr>
        <w:pStyle w:val="CaptionedFigure"/>
      </w:pPr>
      <w:r>
        <w:drawing>
          <wp:inline>
            <wp:extent cx="5334000" cy="3691860"/>
            <wp:effectExtent b="0" l="0" r="0" t="0"/>
            <wp:docPr descr="Заполнение вкладки recieving email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Заполнение вкладки recieving email</w:t>
      </w:r>
    </w:p>
    <w:p>
      <w:pPr>
        <w:pStyle w:val="BodyText"/>
      </w:pPr>
      <w:r>
        <w:t xml:space="preserve">Теперь заполним вкладку sending email. Это исходящая почта, и за отправку будет отвечать протокол pop3 на порту 25, без шифрования и авторизации (рис. 15).</w:t>
      </w:r>
    </w:p>
    <w:p>
      <w:pPr>
        <w:pStyle w:val="CaptionedFigure"/>
      </w:pPr>
      <w:r>
        <w:drawing>
          <wp:inline>
            <wp:extent cx="5334000" cy="3681876"/>
            <wp:effectExtent b="0" l="0" r="0" t="0"/>
            <wp:docPr descr="Заполнение вкладки sending email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Заполнение вкладки sending email</w:t>
      </w:r>
    </w:p>
    <w:p>
      <w:pPr>
        <w:pStyle w:val="BodyText"/>
      </w:pPr>
      <w:r>
        <w:t xml:space="preserve">В account summary убедимся, что всё настроено верно (рис. 16).</w:t>
      </w:r>
    </w:p>
    <w:p>
      <w:pPr>
        <w:pStyle w:val="CaptionedFigure"/>
      </w:pPr>
      <w:r>
        <w:drawing>
          <wp:inline>
            <wp:extent cx="5334000" cy="3689154"/>
            <wp:effectExtent b="0" l="0" r="0" t="0"/>
            <wp:docPr descr="account summary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9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account summary</w:t>
      </w:r>
    </w:p>
    <w:p>
      <w:pPr>
        <w:pStyle w:val="BodyText"/>
      </w:pPr>
      <w:r>
        <w:t xml:space="preserve">После продолжения у нас спросят про сертификат безопасности. Мы выбираем опцию постоянно доверять сертификату и соединению (рис. 17).</w:t>
      </w:r>
    </w:p>
    <w:p>
      <w:pPr>
        <w:pStyle w:val="CaptionedFigure"/>
      </w:pPr>
      <w:r>
        <w:drawing>
          <wp:inline>
            <wp:extent cx="4840565" cy="1752067"/>
            <wp:effectExtent b="0" l="0" r="0" t="0"/>
            <wp:docPr descr="Сертификат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565" cy="175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Сертификат</w:t>
      </w:r>
    </w:p>
    <w:p>
      <w:pPr>
        <w:pStyle w:val="BodyText"/>
      </w:pPr>
      <w:r>
        <w:t xml:space="preserve">Напишем себе какое-нибудь письмо, например такое, с темой test и телом test (рис. 18).</w:t>
      </w:r>
    </w:p>
    <w:p>
      <w:pPr>
        <w:pStyle w:val="CaptionedFigure"/>
      </w:pPr>
      <w:r>
        <w:drawing>
          <wp:inline>
            <wp:extent cx="4105208" cy="3318696"/>
            <wp:effectExtent b="0" l="0" r="0" t="0"/>
            <wp:docPr descr="Отправка первого письм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08" cy="331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Отправка первого письма</w:t>
      </w:r>
    </w:p>
    <w:p>
      <w:pPr>
        <w:pStyle w:val="BodyText"/>
      </w:pPr>
      <w:r>
        <w:t xml:space="preserve">Напишем второе письмо с темой test2 и без тела (рис. 19).</w:t>
      </w:r>
    </w:p>
    <w:p>
      <w:pPr>
        <w:pStyle w:val="CaptionedFigure"/>
      </w:pPr>
      <w:r>
        <w:drawing>
          <wp:inline>
            <wp:extent cx="4105208" cy="3357062"/>
            <wp:effectExtent b="0" l="0" r="0" t="0"/>
            <wp:docPr descr="Отправка второго письма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08" cy="335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Отправка второго письма</w:t>
      </w:r>
    </w:p>
    <w:p>
      <w:pPr>
        <w:pStyle w:val="BodyText"/>
      </w:pPr>
      <w:r>
        <w:t xml:space="preserve">Убедимся, что письма были отправлены и успешно доставлены. Мы можем судить об этом по тому, что письма появились в ящике inbox, то есть доставка была успешна (рис. 20).</w:t>
      </w:r>
    </w:p>
    <w:p>
      <w:pPr>
        <w:pStyle w:val="CaptionedFigure"/>
      </w:pPr>
      <w:r>
        <w:drawing>
          <wp:inline>
            <wp:extent cx="5334000" cy="2287867"/>
            <wp:effectExtent b="0" l="0" r="0" t="0"/>
            <wp:docPr descr="Проверка отправки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отправки</w:t>
      </w:r>
    </w:p>
    <w:p>
      <w:pPr>
        <w:pStyle w:val="BodyText"/>
      </w:pPr>
      <w:r>
        <w:t xml:space="preserve">Посмотрим, что появилось в логах на сервере. Как мы видим, сервер успешно обработал 2 письма с двумя разными идентификаторами - 896BE2044481 и EFFC82044481. Мы можем судить об успешной отправке по припискам delivered to maildir (рис. 21).</w:t>
      </w:r>
    </w:p>
    <w:p>
      <w:pPr>
        <w:pStyle w:val="CaptionedFigure"/>
      </w:pPr>
      <w:r>
        <w:drawing>
          <wp:inline>
            <wp:extent cx="5334000" cy="3737144"/>
            <wp:effectExtent b="0" l="0" r="0" t="0"/>
            <wp:docPr descr="Почтовый лог сервера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Почтовый лог сервера</w:t>
      </w:r>
    </w:p>
    <w:p>
      <w:pPr>
        <w:pStyle w:val="BodyText"/>
      </w:pPr>
      <w:r>
        <w:t xml:space="preserve">Теперь посмотрим на вывод mail и doveadm. mail теперь успешно показывает 2 письма с теми же темами, что мы указали. doveadm же пишет о наличии почтового ящика inbox (рис. 22).</w:t>
      </w:r>
    </w:p>
    <w:p>
      <w:pPr>
        <w:pStyle w:val="CaptionedFigure"/>
      </w:pPr>
      <w:r>
        <w:drawing>
          <wp:inline>
            <wp:extent cx="5334000" cy="1681611"/>
            <wp:effectExtent b="0" l="0" r="0" t="0"/>
            <wp:docPr descr="mail и doveadm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mail и doveadm</w:t>
      </w:r>
    </w:p>
    <w:p>
      <w:pPr>
        <w:pStyle w:val="BodyText"/>
      </w:pPr>
      <w:r>
        <w:t xml:space="preserve">Теперь с помощью telnet подключимся к почтовому серверу. Залогинемся под нашим пользователем, и с помощью команды list нам выведет список из двух элементов - наших писем. С помощью команды retr мы прочитаем содержимое первого письма. Как видим, оно содержит ряд данных, а именно, куда отправить, кому доставлено, от кого получено, айди, тема, дата, тело и прочие характеристики. Командой dele мы удалим второе сообщение и выйдем с помощью команды quit (рис. 23).</w:t>
      </w:r>
    </w:p>
    <w:p>
      <w:pPr>
        <w:pStyle w:val="CaptionedFigure"/>
      </w:pPr>
      <w:r>
        <w:drawing>
          <wp:inline>
            <wp:extent cx="5334000" cy="5438417"/>
            <wp:effectExtent b="0" l="0" r="0" t="0"/>
            <wp:docPr descr="Работа с почтой через telnet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Работа с почтой через telnet</w:t>
      </w:r>
    </w:p>
    <w:p>
      <w:pPr>
        <w:pStyle w:val="BodyText"/>
      </w:pPr>
      <w:r>
        <w:t xml:space="preserve">Теперь сохраним все данные конфигураций в vagrant. Кроме того, модифицируем скрипт mail.sh (рис. 24).</w:t>
      </w:r>
    </w:p>
    <w:p>
      <w:pPr>
        <w:pStyle w:val="CaptionedFigure"/>
      </w:pPr>
      <w:r>
        <w:drawing>
          <wp:inline>
            <wp:extent cx="5334000" cy="2195113"/>
            <wp:effectExtent b="0" l="0" r="0" t="0"/>
            <wp:docPr descr="Сохранение конфигурации на сервере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Сохранение конфигурации на сервере</w:t>
      </w:r>
    </w:p>
    <w:p>
      <w:pPr>
        <w:pStyle w:val="BodyText"/>
      </w:pPr>
      <w:r>
        <w:t xml:space="preserve">В mail.sh добавим строки, отвечающие за установку пакетов, настройку фаервола, настройку postfix и его перезапуск, а также запуск службы dovecot (рис. 25).</w:t>
      </w:r>
    </w:p>
    <w:p>
      <w:pPr>
        <w:pStyle w:val="CaptionedFigure"/>
      </w:pPr>
      <w:r>
        <w:drawing>
          <wp:inline>
            <wp:extent cx="5334000" cy="5303039"/>
            <wp:effectExtent b="0" l="0" r="0" t="0"/>
            <wp:docPr descr="mail.sh на сервере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3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mail.sh на сервере</w:t>
      </w:r>
    </w:p>
    <w:p>
      <w:pPr>
        <w:pStyle w:val="BodyText"/>
      </w:pPr>
      <w:r>
        <w:t xml:space="preserve">На клиенте тоже отредактируем файл mail.sh. Добавим в него строку об установку почтового клиента evolution (рис. 26).</w:t>
      </w:r>
    </w:p>
    <w:p>
      <w:pPr>
        <w:pStyle w:val="CaptionedFigure"/>
      </w:pPr>
      <w:r>
        <w:drawing>
          <wp:inline>
            <wp:extent cx="5334000" cy="2606932"/>
            <wp:effectExtent b="0" l="0" r="0" t="0"/>
            <wp:docPr descr="mail.sh на клиенте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mail.sh на клиенте</w:t>
      </w:r>
    </w:p>
    <w:bookmarkEnd w:id="99"/>
    <w:bookmarkStart w:id="10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и использования простейшего imap/pop3 сервера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2025-11-01T16:13:01Z</dcterms:created>
  <dcterms:modified xsi:type="dcterms:W3CDTF">2025-11-01T16:13:01Z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9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